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DFB7D6">
      <w:pPr>
        <w:shd w:val="clear" w:color="auto" w:fill="FFFFFF"/>
        <w:tabs>
          <w:tab w:val="left" w:pos="0"/>
        </w:tabs>
        <w:adjustRightInd w:val="0"/>
        <w:snapToGrid w:val="0"/>
        <w:spacing w:line="360" w:lineRule="auto"/>
        <w:ind w:firstLine="0" w:firstLineChars="0"/>
        <w:jc w:val="center"/>
        <w:rPr>
          <w:rFonts w:eastAsia="黑体"/>
          <w:b/>
          <w:color w:val="0000FF"/>
          <w:sz w:val="48"/>
          <w:szCs w:val="48"/>
          <w:lang w:eastAsia="zh-CN"/>
        </w:rPr>
      </w:pPr>
    </w:p>
    <w:p w14:paraId="5FEB723C">
      <w:pPr>
        <w:shd w:val="clear" w:color="auto" w:fill="FFFFFF"/>
        <w:tabs>
          <w:tab w:val="left" w:pos="0"/>
        </w:tabs>
        <w:adjustRightInd w:val="0"/>
        <w:snapToGrid w:val="0"/>
        <w:spacing w:line="360" w:lineRule="auto"/>
        <w:ind w:firstLine="0" w:firstLineChars="0"/>
        <w:jc w:val="center"/>
        <w:rPr>
          <w:rFonts w:hint="eastAsia" w:eastAsia="黑体"/>
          <w:b/>
          <w:color w:val="auto"/>
          <w:sz w:val="48"/>
          <w:szCs w:val="48"/>
          <w:lang w:val="en-US" w:eastAsia="zh-CN"/>
        </w:rPr>
      </w:pPr>
      <w:r>
        <w:rPr>
          <w:rFonts w:hint="eastAsia" w:eastAsia="黑体"/>
          <w:b/>
          <w:color w:val="auto"/>
          <w:sz w:val="48"/>
          <w:szCs w:val="48"/>
          <w:lang w:val="en-US" w:eastAsia="zh-CN"/>
        </w:rPr>
        <w:t>淡水生物</w:t>
      </w:r>
      <w:r>
        <w:rPr>
          <w:rFonts w:hint="eastAsia" w:eastAsia="黑体"/>
          <w:b/>
          <w:color w:val="auto"/>
          <w:sz w:val="48"/>
          <w:szCs w:val="48"/>
          <w:lang w:eastAsia="zh-CN"/>
        </w:rPr>
        <w:t>环境DNA监测技术规范</w:t>
      </w:r>
      <w:r>
        <w:rPr>
          <w:rFonts w:hint="eastAsia" w:eastAsia="黑体"/>
          <w:b/>
          <w:color w:val="auto"/>
          <w:sz w:val="48"/>
          <w:szCs w:val="48"/>
          <w:lang w:val="en-US" w:eastAsia="zh-CN"/>
        </w:rPr>
        <w:t xml:space="preserve"> </w:t>
      </w:r>
    </w:p>
    <w:p w14:paraId="340FB805">
      <w:pPr>
        <w:shd w:val="clear" w:color="auto" w:fill="FFFFFF"/>
        <w:tabs>
          <w:tab w:val="left" w:pos="0"/>
        </w:tabs>
        <w:adjustRightInd w:val="0"/>
        <w:snapToGrid w:val="0"/>
        <w:spacing w:line="360" w:lineRule="auto"/>
        <w:ind w:firstLine="0" w:firstLineChars="0"/>
        <w:jc w:val="center"/>
        <w:rPr>
          <w:rFonts w:eastAsia="黑体"/>
          <w:b/>
          <w:color w:val="auto"/>
          <w:sz w:val="48"/>
          <w:szCs w:val="48"/>
          <w:lang w:eastAsia="zh-CN"/>
        </w:rPr>
      </w:pPr>
      <w:r>
        <w:rPr>
          <w:rFonts w:hint="eastAsia" w:eastAsia="黑体"/>
          <w:b/>
          <w:color w:val="auto"/>
          <w:sz w:val="48"/>
          <w:szCs w:val="48"/>
          <w:lang w:eastAsia="zh-CN"/>
        </w:rPr>
        <w:t>大型底栖生物</w:t>
      </w:r>
    </w:p>
    <w:p w14:paraId="46286612">
      <w:pPr>
        <w:shd w:val="clear" w:color="auto" w:fill="FFFFFF"/>
        <w:tabs>
          <w:tab w:val="left" w:pos="0"/>
        </w:tabs>
        <w:adjustRightInd w:val="0"/>
        <w:snapToGrid w:val="0"/>
        <w:spacing w:line="360" w:lineRule="auto"/>
        <w:ind w:firstLine="0" w:firstLineChars="0"/>
        <w:jc w:val="center"/>
        <w:rPr>
          <w:rFonts w:eastAsia="黑体"/>
          <w:b/>
          <w:color w:val="auto"/>
          <w:sz w:val="48"/>
          <w:szCs w:val="48"/>
          <w:lang w:eastAsia="zh-CN"/>
        </w:rPr>
      </w:pPr>
      <w:r>
        <w:rPr>
          <w:rFonts w:eastAsia="黑体"/>
          <w:b/>
          <w:color w:val="auto"/>
          <w:sz w:val="48"/>
          <w:szCs w:val="48"/>
          <w:lang w:eastAsia="zh-CN"/>
        </w:rPr>
        <w:t>（</w:t>
      </w:r>
      <w:r>
        <w:rPr>
          <w:rFonts w:hint="eastAsia" w:eastAsia="黑体"/>
          <w:b/>
          <w:color w:val="auto"/>
          <w:sz w:val="48"/>
          <w:szCs w:val="48"/>
          <w:lang w:val="en-US" w:eastAsia="zh-CN"/>
        </w:rPr>
        <w:t>征求意见</w:t>
      </w:r>
      <w:r>
        <w:rPr>
          <w:rFonts w:eastAsia="黑体"/>
          <w:b/>
          <w:color w:val="auto"/>
          <w:sz w:val="48"/>
          <w:szCs w:val="48"/>
          <w:lang w:eastAsia="zh-CN"/>
        </w:rPr>
        <w:t>稿）</w:t>
      </w:r>
    </w:p>
    <w:p w14:paraId="16E092AA">
      <w:pPr>
        <w:shd w:val="clear" w:color="auto" w:fill="FFFFFF"/>
        <w:adjustRightInd w:val="0"/>
        <w:snapToGrid w:val="0"/>
        <w:spacing w:line="580" w:lineRule="exact"/>
        <w:ind w:firstLine="600"/>
        <w:jc w:val="center"/>
        <w:rPr>
          <w:rFonts w:eastAsia="黑体"/>
          <w:color w:val="000000"/>
          <w:sz w:val="30"/>
          <w:szCs w:val="30"/>
          <w:lang w:eastAsia="zh-CN"/>
        </w:rPr>
      </w:pPr>
    </w:p>
    <w:p w14:paraId="7F053533">
      <w:pPr>
        <w:shd w:val="clear" w:color="auto" w:fill="FFFFFF"/>
        <w:adjustRightInd w:val="0"/>
        <w:snapToGrid w:val="0"/>
        <w:spacing w:line="580" w:lineRule="exact"/>
        <w:ind w:firstLine="600"/>
        <w:jc w:val="center"/>
        <w:rPr>
          <w:rFonts w:eastAsia="黑体"/>
          <w:color w:val="000000"/>
          <w:sz w:val="30"/>
          <w:szCs w:val="30"/>
          <w:lang w:eastAsia="zh-CN"/>
        </w:rPr>
      </w:pPr>
    </w:p>
    <w:p w14:paraId="79CBA095">
      <w:pPr>
        <w:shd w:val="clear" w:color="auto" w:fill="FFFFFF"/>
        <w:adjustRightInd w:val="0"/>
        <w:snapToGrid w:val="0"/>
        <w:spacing w:line="480" w:lineRule="auto"/>
        <w:ind w:firstLine="0" w:firstLineChars="0"/>
        <w:jc w:val="center"/>
        <w:rPr>
          <w:rFonts w:eastAsia="黑体"/>
          <w:color w:val="000000"/>
          <w:sz w:val="48"/>
          <w:szCs w:val="48"/>
          <w:lang w:eastAsia="zh-CN"/>
        </w:rPr>
      </w:pPr>
      <w:r>
        <w:rPr>
          <w:rFonts w:eastAsia="黑体"/>
          <w:color w:val="000000"/>
          <w:sz w:val="48"/>
          <w:szCs w:val="48"/>
          <w:lang w:eastAsia="zh-CN"/>
        </w:rPr>
        <w:t xml:space="preserve">编 </w:t>
      </w:r>
    </w:p>
    <w:p w14:paraId="0ACC799D">
      <w:pPr>
        <w:shd w:val="clear" w:color="auto" w:fill="FFFFFF"/>
        <w:adjustRightInd w:val="0"/>
        <w:snapToGrid w:val="0"/>
        <w:spacing w:line="480" w:lineRule="auto"/>
        <w:ind w:firstLine="0" w:firstLineChars="0"/>
        <w:jc w:val="center"/>
        <w:rPr>
          <w:rFonts w:eastAsia="黑体"/>
          <w:color w:val="000000"/>
          <w:sz w:val="48"/>
          <w:szCs w:val="48"/>
          <w:lang w:eastAsia="zh-CN"/>
        </w:rPr>
      </w:pPr>
      <w:r>
        <w:rPr>
          <w:rFonts w:eastAsia="黑体"/>
          <w:color w:val="000000"/>
          <w:sz w:val="48"/>
          <w:szCs w:val="48"/>
          <w:lang w:eastAsia="zh-CN"/>
        </w:rPr>
        <w:t xml:space="preserve">制 </w:t>
      </w:r>
    </w:p>
    <w:p w14:paraId="0E9A6834">
      <w:pPr>
        <w:shd w:val="clear" w:color="auto" w:fill="FFFFFF"/>
        <w:adjustRightInd w:val="0"/>
        <w:snapToGrid w:val="0"/>
        <w:spacing w:line="480" w:lineRule="auto"/>
        <w:ind w:firstLine="0" w:firstLineChars="0"/>
        <w:jc w:val="center"/>
        <w:rPr>
          <w:rFonts w:eastAsia="黑体"/>
          <w:color w:val="000000"/>
          <w:sz w:val="48"/>
          <w:szCs w:val="48"/>
          <w:lang w:eastAsia="zh-CN"/>
        </w:rPr>
      </w:pPr>
      <w:r>
        <w:rPr>
          <w:rFonts w:eastAsia="黑体"/>
          <w:color w:val="000000"/>
          <w:sz w:val="48"/>
          <w:szCs w:val="48"/>
          <w:lang w:eastAsia="zh-CN"/>
        </w:rPr>
        <w:t xml:space="preserve">说 </w:t>
      </w:r>
    </w:p>
    <w:p w14:paraId="40673A3B">
      <w:pPr>
        <w:shd w:val="clear" w:color="auto" w:fill="FFFFFF"/>
        <w:adjustRightInd w:val="0"/>
        <w:snapToGrid w:val="0"/>
        <w:spacing w:line="480" w:lineRule="auto"/>
        <w:ind w:firstLine="0" w:firstLineChars="0"/>
        <w:jc w:val="center"/>
        <w:rPr>
          <w:rFonts w:eastAsia="黑体"/>
          <w:color w:val="000000"/>
          <w:sz w:val="48"/>
          <w:szCs w:val="48"/>
          <w:lang w:eastAsia="zh-CN"/>
        </w:rPr>
      </w:pPr>
      <w:r>
        <w:rPr>
          <w:rFonts w:eastAsia="黑体"/>
          <w:color w:val="000000"/>
          <w:sz w:val="48"/>
          <w:szCs w:val="48"/>
          <w:lang w:eastAsia="zh-CN"/>
        </w:rPr>
        <w:t>明</w:t>
      </w:r>
    </w:p>
    <w:p w14:paraId="5331C54B">
      <w:pPr>
        <w:shd w:val="clear" w:color="auto" w:fill="FFFFFF"/>
        <w:tabs>
          <w:tab w:val="left" w:pos="540"/>
        </w:tabs>
        <w:adjustRightInd w:val="0"/>
        <w:snapToGrid w:val="0"/>
        <w:spacing w:line="420" w:lineRule="exact"/>
        <w:ind w:left="118" w:right="-20" w:firstLine="551"/>
        <w:rPr>
          <w:color w:val="000000"/>
          <w:w w:val="99"/>
          <w:position w:val="-1"/>
          <w:sz w:val="28"/>
          <w:szCs w:val="28"/>
          <w:lang w:eastAsia="zh-CN"/>
        </w:rPr>
      </w:pPr>
    </w:p>
    <w:p w14:paraId="77E0AAAC">
      <w:pPr>
        <w:shd w:val="clear" w:color="auto" w:fill="FFFFFF"/>
        <w:tabs>
          <w:tab w:val="left" w:pos="540"/>
        </w:tabs>
        <w:adjustRightInd w:val="0"/>
        <w:snapToGrid w:val="0"/>
        <w:spacing w:line="420" w:lineRule="exact"/>
        <w:ind w:left="118" w:right="-20" w:firstLine="551"/>
        <w:rPr>
          <w:color w:val="000000"/>
          <w:w w:val="99"/>
          <w:position w:val="-1"/>
          <w:sz w:val="28"/>
          <w:szCs w:val="28"/>
          <w:lang w:eastAsia="zh-CN"/>
        </w:rPr>
      </w:pPr>
    </w:p>
    <w:p w14:paraId="0C0D2456">
      <w:pPr>
        <w:shd w:val="clear" w:color="auto" w:fill="FFFFFF"/>
        <w:tabs>
          <w:tab w:val="left" w:pos="540"/>
        </w:tabs>
        <w:adjustRightInd w:val="0"/>
        <w:snapToGrid w:val="0"/>
        <w:spacing w:line="420" w:lineRule="exact"/>
        <w:ind w:left="118" w:right="-20" w:firstLine="551"/>
        <w:rPr>
          <w:color w:val="000000"/>
          <w:w w:val="99"/>
          <w:position w:val="-1"/>
          <w:sz w:val="28"/>
          <w:szCs w:val="28"/>
          <w:lang w:eastAsia="zh-CN"/>
        </w:rPr>
      </w:pPr>
    </w:p>
    <w:p w14:paraId="3454060B">
      <w:pPr>
        <w:shd w:val="clear" w:color="auto" w:fill="FFFFFF"/>
        <w:tabs>
          <w:tab w:val="left" w:pos="540"/>
        </w:tabs>
        <w:adjustRightInd w:val="0"/>
        <w:snapToGrid w:val="0"/>
        <w:spacing w:line="420" w:lineRule="exact"/>
        <w:ind w:left="118" w:right="-20" w:firstLine="551"/>
        <w:rPr>
          <w:color w:val="000000"/>
          <w:w w:val="99"/>
          <w:position w:val="-1"/>
          <w:sz w:val="28"/>
          <w:szCs w:val="28"/>
          <w:lang w:eastAsia="zh-CN"/>
        </w:rPr>
      </w:pPr>
    </w:p>
    <w:p w14:paraId="671168FD">
      <w:pPr>
        <w:shd w:val="clear" w:color="auto" w:fill="FFFFFF"/>
        <w:tabs>
          <w:tab w:val="left" w:pos="540"/>
        </w:tabs>
        <w:adjustRightInd w:val="0"/>
        <w:snapToGrid w:val="0"/>
        <w:spacing w:line="420" w:lineRule="exact"/>
        <w:ind w:left="118" w:right="-20" w:firstLine="551"/>
        <w:rPr>
          <w:color w:val="000000"/>
          <w:w w:val="99"/>
          <w:position w:val="-1"/>
          <w:sz w:val="28"/>
          <w:szCs w:val="28"/>
          <w:lang w:eastAsia="zh-CN"/>
        </w:rPr>
      </w:pPr>
    </w:p>
    <w:p w14:paraId="21F5AE4B">
      <w:pPr>
        <w:shd w:val="clear" w:color="auto" w:fill="FFFFFF"/>
        <w:tabs>
          <w:tab w:val="left" w:pos="540"/>
        </w:tabs>
        <w:adjustRightInd w:val="0"/>
        <w:snapToGrid w:val="0"/>
        <w:spacing w:line="420" w:lineRule="exact"/>
        <w:ind w:left="118" w:right="-20" w:firstLine="433"/>
        <w:rPr>
          <w:color w:val="000000"/>
          <w:w w:val="99"/>
          <w:position w:val="-1"/>
          <w:sz w:val="22"/>
          <w:lang w:eastAsia="zh-CN"/>
        </w:rPr>
      </w:pPr>
    </w:p>
    <w:p w14:paraId="692C3ACD">
      <w:pPr>
        <w:keepNext w:val="0"/>
        <w:keepLines w:val="0"/>
        <w:pageBreakBefore w:val="0"/>
        <w:widowControl w:val="0"/>
        <w:shd w:val="clear" w:color="auto" w:fill="FFFFFF"/>
        <w:tabs>
          <w:tab w:val="left" w:pos="2962"/>
        </w:tabs>
        <w:kinsoku/>
        <w:wordWrap/>
        <w:overflowPunct/>
        <w:topLinePunct w:val="0"/>
        <w:autoSpaceDE/>
        <w:autoSpaceDN/>
        <w:bidi w:val="0"/>
        <w:adjustRightInd w:val="0"/>
        <w:snapToGrid w:val="0"/>
        <w:spacing w:line="360" w:lineRule="auto"/>
        <w:ind w:right="-23" w:firstLine="0" w:firstLineChars="0"/>
        <w:jc w:val="center"/>
        <w:textAlignment w:val="auto"/>
        <w:rPr>
          <w:rFonts w:eastAsia="黑体"/>
          <w:bCs/>
          <w:color w:val="000000"/>
          <w:sz w:val="32"/>
          <w:szCs w:val="32"/>
          <w:lang w:eastAsia="zh-CN"/>
        </w:rPr>
      </w:pPr>
      <w:r>
        <w:rPr>
          <w:rFonts w:eastAsia="黑体"/>
          <w:bCs/>
          <w:color w:val="auto"/>
          <w:sz w:val="32"/>
          <w:szCs w:val="32"/>
          <w:lang w:eastAsia="zh-CN"/>
        </w:rPr>
        <w:t>《</w:t>
      </w:r>
      <w:r>
        <w:rPr>
          <w:rFonts w:hint="eastAsia" w:eastAsia="黑体"/>
          <w:bCs/>
          <w:color w:val="auto"/>
          <w:sz w:val="32"/>
          <w:szCs w:val="32"/>
          <w:lang w:eastAsia="zh-CN"/>
        </w:rPr>
        <w:t>淡水生物环境DNA监测技术规范 大型底栖生物</w:t>
      </w:r>
      <w:r>
        <w:rPr>
          <w:rFonts w:eastAsia="黑体"/>
          <w:bCs/>
          <w:color w:val="auto"/>
          <w:sz w:val="32"/>
          <w:szCs w:val="32"/>
          <w:lang w:eastAsia="zh-CN"/>
        </w:rPr>
        <w:t>》</w:t>
      </w:r>
      <w:r>
        <w:rPr>
          <w:rFonts w:eastAsia="黑体"/>
          <w:bCs/>
          <w:color w:val="000000"/>
          <w:sz w:val="32"/>
          <w:szCs w:val="32"/>
          <w:lang w:eastAsia="zh-CN"/>
        </w:rPr>
        <w:t>编制组</w:t>
      </w:r>
    </w:p>
    <w:p w14:paraId="60D8B638">
      <w:pPr>
        <w:keepNext w:val="0"/>
        <w:keepLines w:val="0"/>
        <w:pageBreakBefore w:val="0"/>
        <w:widowControl w:val="0"/>
        <w:shd w:val="clear" w:color="auto" w:fill="FFFFFF"/>
        <w:tabs>
          <w:tab w:val="left" w:pos="2962"/>
        </w:tabs>
        <w:kinsoku/>
        <w:wordWrap/>
        <w:overflowPunct/>
        <w:topLinePunct w:val="0"/>
        <w:autoSpaceDE/>
        <w:autoSpaceDN/>
        <w:bidi w:val="0"/>
        <w:adjustRightInd w:val="0"/>
        <w:snapToGrid w:val="0"/>
        <w:spacing w:line="360" w:lineRule="auto"/>
        <w:ind w:right="-23" w:firstLine="0" w:firstLineChars="0"/>
        <w:jc w:val="center"/>
        <w:textAlignment w:val="auto"/>
        <w:rPr>
          <w:rFonts w:eastAsia="黑体"/>
          <w:bCs/>
          <w:color w:val="000000"/>
          <w:sz w:val="32"/>
          <w:szCs w:val="32"/>
          <w:lang w:eastAsia="zh-CN"/>
        </w:rPr>
      </w:pPr>
      <w:r>
        <w:rPr>
          <w:rFonts w:eastAsia="黑体"/>
          <w:bCs/>
          <w:color w:val="000000"/>
          <w:sz w:val="32"/>
          <w:szCs w:val="32"/>
          <w:lang w:eastAsia="zh-CN"/>
        </w:rPr>
        <w:t>202</w:t>
      </w:r>
      <w:r>
        <w:rPr>
          <w:rFonts w:hint="eastAsia" w:eastAsia="黑体"/>
          <w:bCs/>
          <w:color w:val="000000"/>
          <w:sz w:val="32"/>
          <w:szCs w:val="32"/>
          <w:lang w:val="en-US" w:eastAsia="zh-CN"/>
        </w:rPr>
        <w:t>5</w:t>
      </w:r>
      <w:r>
        <w:rPr>
          <w:rFonts w:eastAsia="黑体"/>
          <w:bCs/>
          <w:color w:val="000000"/>
          <w:sz w:val="32"/>
          <w:szCs w:val="32"/>
          <w:lang w:eastAsia="zh-CN"/>
        </w:rPr>
        <w:t>年</w:t>
      </w:r>
      <w:r>
        <w:rPr>
          <w:rFonts w:hint="eastAsia" w:eastAsia="黑体"/>
          <w:bCs/>
          <w:color w:val="000000"/>
          <w:sz w:val="32"/>
          <w:szCs w:val="32"/>
          <w:lang w:val="en-US" w:eastAsia="zh-CN"/>
        </w:rPr>
        <w:t>3</w:t>
      </w:r>
      <w:r>
        <w:rPr>
          <w:rFonts w:eastAsia="黑体"/>
          <w:bCs/>
          <w:color w:val="000000"/>
          <w:sz w:val="32"/>
          <w:szCs w:val="32"/>
          <w:lang w:eastAsia="zh-CN"/>
        </w:rPr>
        <w:t>月</w:t>
      </w:r>
    </w:p>
    <w:p w14:paraId="5E472BBB"/>
    <w:p w14:paraId="096BDDC9">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firstLine="0" w:firstLineChars="0"/>
        <w:jc w:val="center"/>
        <w:textAlignment w:val="auto"/>
        <w:rPr>
          <w:rFonts w:hint="eastAsia" w:ascii="Times New Roman" w:hAnsi="Times New Roman" w:eastAsia="黑体" w:cs="Times New Roman"/>
          <w:color w:val="000000"/>
          <w:sz w:val="32"/>
          <w:szCs w:val="32"/>
          <w:lang w:val="en-US" w:eastAsia="zh-CN"/>
        </w:rPr>
      </w:pPr>
      <w:r>
        <w:rPr>
          <w:rFonts w:hint="eastAsia" w:ascii="Times New Roman" w:hAnsi="Times New Roman" w:eastAsia="黑体" w:cs="Times New Roman"/>
          <w:color w:val="000000"/>
          <w:sz w:val="32"/>
          <w:szCs w:val="32"/>
          <w:lang w:val="en-US" w:eastAsia="zh-CN"/>
        </w:rPr>
        <w:t>目  录</w:t>
      </w:r>
    </w:p>
    <w:p w14:paraId="4F8251BC">
      <w:pPr>
        <w:pStyle w:val="7"/>
        <w:tabs>
          <w:tab w:val="right" w:leader="dot" w:pos="8306"/>
        </w:tabs>
        <w:ind w:left="0" w:leftChars="0" w:firstLine="0" w:firstLineChars="0"/>
      </w:pPr>
      <w:r>
        <w:rPr>
          <w:rFonts w:hint="eastAsia" w:ascii="Times New Roman" w:hAnsi="Times New Roman" w:eastAsia="黑体" w:cs="Times New Roman"/>
          <w:color w:val="000000"/>
          <w:sz w:val="32"/>
          <w:szCs w:val="32"/>
          <w:lang w:val="en-US" w:eastAsia="zh-CN"/>
        </w:rPr>
        <w:fldChar w:fldCharType="begin"/>
      </w:r>
      <w:r>
        <w:rPr>
          <w:rFonts w:hint="eastAsia" w:ascii="Times New Roman" w:hAnsi="Times New Roman" w:eastAsia="黑体" w:cs="Times New Roman"/>
          <w:color w:val="000000"/>
          <w:sz w:val="32"/>
          <w:szCs w:val="32"/>
          <w:lang w:val="en-US" w:eastAsia="zh-CN"/>
        </w:rPr>
        <w:instrText xml:space="preserve">TOC \o "1-2" \h \u </w:instrText>
      </w:r>
      <w:r>
        <w:rPr>
          <w:rFonts w:hint="eastAsia" w:ascii="Times New Roman" w:hAnsi="Times New Roman" w:eastAsia="黑体" w:cs="Times New Roman"/>
          <w:color w:val="000000"/>
          <w:sz w:val="32"/>
          <w:szCs w:val="32"/>
          <w:lang w:val="en-US" w:eastAsia="zh-CN"/>
        </w:rPr>
        <w:fldChar w:fldCharType="separate"/>
      </w:r>
      <w:r>
        <w:rPr>
          <w:rFonts w:hint="eastAsia" w:ascii="Times New Roman" w:hAnsi="Times New Roman" w:eastAsia="黑体" w:cs="Times New Roman"/>
          <w:color w:val="000000"/>
          <w:szCs w:val="32"/>
          <w:lang w:val="en-US" w:eastAsia="zh-CN"/>
        </w:rPr>
        <w:fldChar w:fldCharType="begin"/>
      </w:r>
      <w:r>
        <w:rPr>
          <w:rFonts w:hint="eastAsia" w:ascii="Times New Roman" w:hAnsi="Times New Roman" w:eastAsia="黑体" w:cs="Times New Roman"/>
          <w:szCs w:val="32"/>
          <w:lang w:val="en-US" w:eastAsia="zh-CN"/>
        </w:rPr>
        <w:instrText xml:space="preserve"> HYPERLINK \l _Toc20517 </w:instrText>
      </w:r>
      <w:r>
        <w:rPr>
          <w:rFonts w:hint="eastAsia" w:ascii="Times New Roman" w:hAnsi="Times New Roman" w:eastAsia="黑体" w:cs="Times New Roman"/>
          <w:szCs w:val="32"/>
          <w:lang w:val="en-US" w:eastAsia="zh-CN"/>
        </w:rPr>
        <w:fldChar w:fldCharType="separate"/>
      </w:r>
      <w:r>
        <w:rPr>
          <w:rFonts w:hint="eastAsia" w:eastAsia="仿宋_GB2312" w:cs="Times New Roman"/>
          <w:bCs/>
          <w:lang w:val="en-US" w:eastAsia="zh-CN"/>
        </w:rPr>
        <w:t>1、任务来源</w:t>
      </w:r>
      <w:r>
        <w:tab/>
      </w:r>
      <w:r>
        <w:fldChar w:fldCharType="begin"/>
      </w:r>
      <w:r>
        <w:instrText xml:space="preserve"> PAGEREF _Toc20517 \h </w:instrText>
      </w:r>
      <w:r>
        <w:fldChar w:fldCharType="separate"/>
      </w:r>
      <w:r>
        <w:t>1</w:t>
      </w:r>
      <w:r>
        <w:fldChar w:fldCharType="end"/>
      </w:r>
      <w:r>
        <w:rPr>
          <w:rFonts w:hint="eastAsia" w:ascii="Times New Roman" w:hAnsi="Times New Roman" w:eastAsia="黑体" w:cs="Times New Roman"/>
          <w:color w:val="000000"/>
          <w:szCs w:val="32"/>
          <w:lang w:val="en-US" w:eastAsia="zh-CN"/>
        </w:rPr>
        <w:fldChar w:fldCharType="end"/>
      </w:r>
    </w:p>
    <w:p w14:paraId="543D4894">
      <w:pPr>
        <w:pStyle w:val="7"/>
        <w:tabs>
          <w:tab w:val="right" w:leader="dot" w:pos="8306"/>
        </w:tabs>
        <w:ind w:left="0" w:leftChars="0" w:firstLine="0" w:firstLineChars="0"/>
      </w:pPr>
      <w:r>
        <w:rPr>
          <w:rFonts w:hint="eastAsia" w:ascii="Times New Roman" w:hAnsi="Times New Roman" w:eastAsia="黑体" w:cs="Times New Roman"/>
          <w:color w:val="000000"/>
          <w:szCs w:val="32"/>
          <w:lang w:val="en-US" w:eastAsia="zh-CN"/>
        </w:rPr>
        <w:fldChar w:fldCharType="begin"/>
      </w:r>
      <w:r>
        <w:rPr>
          <w:rFonts w:hint="eastAsia" w:ascii="Times New Roman" w:hAnsi="Times New Roman" w:eastAsia="黑体" w:cs="Times New Roman"/>
          <w:szCs w:val="32"/>
          <w:lang w:val="en-US" w:eastAsia="zh-CN"/>
        </w:rPr>
        <w:instrText xml:space="preserve"> HYPERLINK \l _Toc5594 </w:instrText>
      </w:r>
      <w:r>
        <w:rPr>
          <w:rFonts w:hint="eastAsia" w:ascii="Times New Roman" w:hAnsi="Times New Roman" w:eastAsia="黑体" w:cs="Times New Roman"/>
          <w:szCs w:val="32"/>
          <w:lang w:val="en-US" w:eastAsia="zh-CN"/>
        </w:rPr>
        <w:fldChar w:fldCharType="separate"/>
      </w:r>
      <w:r>
        <w:rPr>
          <w:rFonts w:hint="eastAsia" w:ascii="Times New Roman" w:hAnsi="Times New Roman" w:eastAsia="仿宋_GB2312" w:cs="Times New Roman"/>
          <w:bCs/>
          <w:lang w:val="en-US" w:eastAsia="zh-CN"/>
        </w:rPr>
        <w:t>2、标准制定的意义和必要性分析</w:t>
      </w:r>
      <w:r>
        <w:tab/>
      </w:r>
      <w:r>
        <w:fldChar w:fldCharType="begin"/>
      </w:r>
      <w:r>
        <w:instrText xml:space="preserve"> PAGEREF _Toc5594 \h </w:instrText>
      </w:r>
      <w:r>
        <w:fldChar w:fldCharType="separate"/>
      </w:r>
      <w:r>
        <w:t>1</w:t>
      </w:r>
      <w:r>
        <w:fldChar w:fldCharType="end"/>
      </w:r>
      <w:r>
        <w:rPr>
          <w:rFonts w:hint="eastAsia" w:ascii="Times New Roman" w:hAnsi="Times New Roman" w:eastAsia="黑体" w:cs="Times New Roman"/>
          <w:color w:val="000000"/>
          <w:szCs w:val="32"/>
          <w:lang w:val="en-US" w:eastAsia="zh-CN"/>
        </w:rPr>
        <w:fldChar w:fldCharType="end"/>
      </w:r>
    </w:p>
    <w:p w14:paraId="08AB8BB9">
      <w:pPr>
        <w:pStyle w:val="8"/>
        <w:tabs>
          <w:tab w:val="right" w:leader="dot" w:pos="8306"/>
        </w:tabs>
        <w:ind w:left="0" w:leftChars="0" w:firstLine="240" w:firstLineChars="100"/>
      </w:pPr>
      <w:r>
        <w:rPr>
          <w:rFonts w:hint="eastAsia" w:ascii="Times New Roman" w:hAnsi="Times New Roman" w:eastAsia="黑体" w:cs="Times New Roman"/>
          <w:color w:val="000000"/>
          <w:szCs w:val="32"/>
          <w:lang w:val="en-US" w:eastAsia="zh-CN"/>
        </w:rPr>
        <w:fldChar w:fldCharType="begin"/>
      </w:r>
      <w:r>
        <w:rPr>
          <w:rFonts w:hint="eastAsia" w:ascii="Times New Roman" w:hAnsi="Times New Roman" w:eastAsia="黑体" w:cs="Times New Roman"/>
          <w:szCs w:val="32"/>
          <w:lang w:val="en-US" w:eastAsia="zh-CN"/>
        </w:rPr>
        <w:instrText xml:space="preserve"> HYPERLINK \l _Toc31889 </w:instrText>
      </w:r>
      <w:r>
        <w:rPr>
          <w:rFonts w:hint="eastAsia" w:ascii="Times New Roman" w:hAnsi="Times New Roman" w:eastAsia="黑体" w:cs="Times New Roman"/>
          <w:szCs w:val="32"/>
          <w:lang w:val="en-US" w:eastAsia="zh-CN"/>
        </w:rPr>
        <w:fldChar w:fldCharType="separate"/>
      </w:r>
      <w:r>
        <w:rPr>
          <w:rFonts w:hint="eastAsia" w:ascii="Times New Roman" w:hAnsi="Times New Roman" w:eastAsia="仿宋_GB2312" w:cs="Times New Roman"/>
          <w:bCs/>
          <w:lang w:val="en-US" w:eastAsia="zh-CN"/>
        </w:rPr>
        <w:t>2.1 标准制定的目的和意义</w:t>
      </w:r>
      <w:r>
        <w:tab/>
      </w:r>
      <w:r>
        <w:fldChar w:fldCharType="begin"/>
      </w:r>
      <w:r>
        <w:instrText xml:space="preserve"> PAGEREF _Toc31889 \h </w:instrText>
      </w:r>
      <w:r>
        <w:fldChar w:fldCharType="separate"/>
      </w:r>
      <w:r>
        <w:t>1</w:t>
      </w:r>
      <w:r>
        <w:fldChar w:fldCharType="end"/>
      </w:r>
      <w:r>
        <w:rPr>
          <w:rFonts w:hint="eastAsia" w:ascii="Times New Roman" w:hAnsi="Times New Roman" w:eastAsia="黑体" w:cs="Times New Roman"/>
          <w:color w:val="000000"/>
          <w:szCs w:val="32"/>
          <w:lang w:val="en-US" w:eastAsia="zh-CN"/>
        </w:rPr>
        <w:fldChar w:fldCharType="end"/>
      </w:r>
    </w:p>
    <w:p w14:paraId="1DBE99BB">
      <w:pPr>
        <w:pStyle w:val="8"/>
        <w:tabs>
          <w:tab w:val="right" w:leader="dot" w:pos="8306"/>
        </w:tabs>
        <w:ind w:left="0" w:leftChars="0" w:firstLine="240" w:firstLineChars="100"/>
      </w:pPr>
      <w:r>
        <w:rPr>
          <w:rFonts w:hint="eastAsia" w:ascii="Times New Roman" w:hAnsi="Times New Roman" w:eastAsia="黑体" w:cs="Times New Roman"/>
          <w:color w:val="000000"/>
          <w:szCs w:val="32"/>
          <w:lang w:val="en-US" w:eastAsia="zh-CN"/>
        </w:rPr>
        <w:fldChar w:fldCharType="begin"/>
      </w:r>
      <w:r>
        <w:rPr>
          <w:rFonts w:hint="eastAsia" w:ascii="Times New Roman" w:hAnsi="Times New Roman" w:eastAsia="黑体" w:cs="Times New Roman"/>
          <w:szCs w:val="32"/>
          <w:lang w:val="en-US" w:eastAsia="zh-CN"/>
        </w:rPr>
        <w:instrText xml:space="preserve"> HYPERLINK \l _Toc858 </w:instrText>
      </w:r>
      <w:r>
        <w:rPr>
          <w:rFonts w:hint="eastAsia" w:ascii="Times New Roman" w:hAnsi="Times New Roman" w:eastAsia="黑体" w:cs="Times New Roman"/>
          <w:szCs w:val="32"/>
          <w:lang w:val="en-US" w:eastAsia="zh-CN"/>
        </w:rPr>
        <w:fldChar w:fldCharType="separate"/>
      </w:r>
      <w:r>
        <w:rPr>
          <w:rFonts w:hint="eastAsia" w:ascii="Times New Roman" w:hAnsi="Times New Roman" w:eastAsia="仿宋_GB2312" w:cs="Times New Roman"/>
          <w:bCs/>
          <w:lang w:val="en-US" w:eastAsia="zh-CN"/>
        </w:rPr>
        <w:t>2.2 必要性分析</w:t>
      </w:r>
      <w:r>
        <w:tab/>
      </w:r>
      <w:r>
        <w:fldChar w:fldCharType="begin"/>
      </w:r>
      <w:r>
        <w:instrText xml:space="preserve"> PAGEREF _Toc858 \h </w:instrText>
      </w:r>
      <w:r>
        <w:fldChar w:fldCharType="separate"/>
      </w:r>
      <w:r>
        <w:t>2</w:t>
      </w:r>
      <w:r>
        <w:fldChar w:fldCharType="end"/>
      </w:r>
      <w:r>
        <w:rPr>
          <w:rFonts w:hint="eastAsia" w:ascii="Times New Roman" w:hAnsi="Times New Roman" w:eastAsia="黑体" w:cs="Times New Roman"/>
          <w:color w:val="000000"/>
          <w:szCs w:val="32"/>
          <w:lang w:val="en-US" w:eastAsia="zh-CN"/>
        </w:rPr>
        <w:fldChar w:fldCharType="end"/>
      </w:r>
    </w:p>
    <w:p w14:paraId="053D692B">
      <w:pPr>
        <w:pStyle w:val="7"/>
        <w:tabs>
          <w:tab w:val="right" w:leader="dot" w:pos="8306"/>
        </w:tabs>
        <w:ind w:left="0" w:leftChars="0" w:firstLine="0" w:firstLineChars="0"/>
      </w:pPr>
      <w:r>
        <w:rPr>
          <w:rFonts w:hint="eastAsia" w:ascii="Times New Roman" w:hAnsi="Times New Roman" w:eastAsia="黑体" w:cs="Times New Roman"/>
          <w:color w:val="000000"/>
          <w:szCs w:val="32"/>
          <w:lang w:val="en-US" w:eastAsia="zh-CN"/>
        </w:rPr>
        <w:fldChar w:fldCharType="begin"/>
      </w:r>
      <w:r>
        <w:rPr>
          <w:rFonts w:hint="eastAsia" w:ascii="Times New Roman" w:hAnsi="Times New Roman" w:eastAsia="黑体" w:cs="Times New Roman"/>
          <w:szCs w:val="32"/>
          <w:lang w:val="en-US" w:eastAsia="zh-CN"/>
        </w:rPr>
        <w:instrText xml:space="preserve"> HYPERLINK \l _Toc22244 </w:instrText>
      </w:r>
      <w:r>
        <w:rPr>
          <w:rFonts w:hint="eastAsia" w:ascii="Times New Roman" w:hAnsi="Times New Roman" w:eastAsia="黑体" w:cs="Times New Roman"/>
          <w:szCs w:val="32"/>
          <w:lang w:val="en-US" w:eastAsia="zh-CN"/>
        </w:rPr>
        <w:fldChar w:fldCharType="separate"/>
      </w:r>
      <w:r>
        <w:rPr>
          <w:rFonts w:hint="eastAsia" w:ascii="Times New Roman" w:hAnsi="Times New Roman" w:eastAsia="仿宋_GB2312" w:cs="Times New Roman"/>
          <w:bCs/>
          <w:lang w:val="en-US" w:eastAsia="zh-CN"/>
        </w:rPr>
        <w:t>3、标准框架的确定</w:t>
      </w:r>
      <w:r>
        <w:tab/>
      </w:r>
      <w:r>
        <w:fldChar w:fldCharType="begin"/>
      </w:r>
      <w:r>
        <w:instrText xml:space="preserve"> PAGEREF _Toc22244 \h </w:instrText>
      </w:r>
      <w:r>
        <w:fldChar w:fldCharType="separate"/>
      </w:r>
      <w:r>
        <w:t>3</w:t>
      </w:r>
      <w:r>
        <w:fldChar w:fldCharType="end"/>
      </w:r>
      <w:r>
        <w:rPr>
          <w:rFonts w:hint="eastAsia" w:ascii="Times New Roman" w:hAnsi="Times New Roman" w:eastAsia="黑体" w:cs="Times New Roman"/>
          <w:color w:val="000000"/>
          <w:szCs w:val="32"/>
          <w:lang w:val="en-US" w:eastAsia="zh-CN"/>
        </w:rPr>
        <w:fldChar w:fldCharType="end"/>
      </w:r>
    </w:p>
    <w:p w14:paraId="638780AB">
      <w:pPr>
        <w:pStyle w:val="8"/>
        <w:tabs>
          <w:tab w:val="right" w:leader="dot" w:pos="8306"/>
        </w:tabs>
        <w:ind w:left="0" w:leftChars="0" w:firstLine="240" w:firstLineChars="100"/>
      </w:pPr>
      <w:r>
        <w:rPr>
          <w:rFonts w:hint="eastAsia" w:ascii="Times New Roman" w:hAnsi="Times New Roman" w:eastAsia="黑体" w:cs="Times New Roman"/>
          <w:color w:val="000000"/>
          <w:szCs w:val="32"/>
          <w:lang w:val="en-US" w:eastAsia="zh-CN"/>
        </w:rPr>
        <w:fldChar w:fldCharType="begin"/>
      </w:r>
      <w:r>
        <w:rPr>
          <w:rFonts w:hint="eastAsia" w:ascii="Times New Roman" w:hAnsi="Times New Roman" w:eastAsia="黑体" w:cs="Times New Roman"/>
          <w:szCs w:val="32"/>
          <w:lang w:val="en-US" w:eastAsia="zh-CN"/>
        </w:rPr>
        <w:instrText xml:space="preserve"> HYPERLINK \l _Toc6791 </w:instrText>
      </w:r>
      <w:r>
        <w:rPr>
          <w:rFonts w:hint="eastAsia" w:ascii="Times New Roman" w:hAnsi="Times New Roman" w:eastAsia="黑体" w:cs="Times New Roman"/>
          <w:szCs w:val="32"/>
          <w:lang w:val="en-US" w:eastAsia="zh-CN"/>
        </w:rPr>
        <w:fldChar w:fldCharType="separate"/>
      </w:r>
      <w:r>
        <w:rPr>
          <w:rFonts w:hint="eastAsia" w:ascii="Times New Roman" w:hAnsi="Times New Roman" w:eastAsia="仿宋_GB2312" w:cs="Times New Roman"/>
          <w:bCs/>
          <w:lang w:val="en-US" w:eastAsia="zh-CN"/>
        </w:rPr>
        <w:t>3.1 标准制定的总体思路</w:t>
      </w:r>
      <w:r>
        <w:tab/>
      </w:r>
      <w:r>
        <w:fldChar w:fldCharType="begin"/>
      </w:r>
      <w:r>
        <w:instrText xml:space="preserve"> PAGEREF _Toc6791 \h </w:instrText>
      </w:r>
      <w:r>
        <w:fldChar w:fldCharType="separate"/>
      </w:r>
      <w:r>
        <w:t>3</w:t>
      </w:r>
      <w:r>
        <w:fldChar w:fldCharType="end"/>
      </w:r>
      <w:r>
        <w:rPr>
          <w:rFonts w:hint="eastAsia" w:ascii="Times New Roman" w:hAnsi="Times New Roman" w:eastAsia="黑体" w:cs="Times New Roman"/>
          <w:color w:val="000000"/>
          <w:szCs w:val="32"/>
          <w:lang w:val="en-US" w:eastAsia="zh-CN"/>
        </w:rPr>
        <w:fldChar w:fldCharType="end"/>
      </w:r>
    </w:p>
    <w:p w14:paraId="1F527E6F">
      <w:pPr>
        <w:pStyle w:val="8"/>
        <w:tabs>
          <w:tab w:val="right" w:leader="dot" w:pos="8306"/>
        </w:tabs>
        <w:ind w:left="0" w:leftChars="0" w:firstLine="240" w:firstLineChars="100"/>
      </w:pPr>
      <w:r>
        <w:rPr>
          <w:rFonts w:hint="eastAsia" w:ascii="Times New Roman" w:hAnsi="Times New Roman" w:eastAsia="黑体" w:cs="Times New Roman"/>
          <w:color w:val="000000"/>
          <w:szCs w:val="32"/>
          <w:lang w:val="en-US" w:eastAsia="zh-CN"/>
        </w:rPr>
        <w:fldChar w:fldCharType="begin"/>
      </w:r>
      <w:r>
        <w:rPr>
          <w:rFonts w:hint="eastAsia" w:ascii="Times New Roman" w:hAnsi="Times New Roman" w:eastAsia="黑体" w:cs="Times New Roman"/>
          <w:szCs w:val="32"/>
          <w:lang w:val="en-US" w:eastAsia="zh-CN"/>
        </w:rPr>
        <w:instrText xml:space="preserve"> HYPERLINK \l _Toc29448 </w:instrText>
      </w:r>
      <w:r>
        <w:rPr>
          <w:rFonts w:hint="eastAsia" w:ascii="Times New Roman" w:hAnsi="Times New Roman" w:eastAsia="黑体" w:cs="Times New Roman"/>
          <w:szCs w:val="32"/>
          <w:lang w:val="en-US" w:eastAsia="zh-CN"/>
        </w:rPr>
        <w:fldChar w:fldCharType="separate"/>
      </w:r>
      <w:r>
        <w:rPr>
          <w:rFonts w:hint="eastAsia" w:ascii="Times New Roman" w:hAnsi="Times New Roman" w:eastAsia="仿宋_GB2312" w:cs="Times New Roman"/>
          <w:bCs/>
          <w:lang w:val="en-US" w:eastAsia="zh-CN"/>
        </w:rPr>
        <w:t>3.2 编制依据</w:t>
      </w:r>
      <w:r>
        <w:tab/>
      </w:r>
      <w:r>
        <w:fldChar w:fldCharType="begin"/>
      </w:r>
      <w:r>
        <w:instrText xml:space="preserve"> PAGEREF _Toc29448 \h </w:instrText>
      </w:r>
      <w:r>
        <w:fldChar w:fldCharType="separate"/>
      </w:r>
      <w:r>
        <w:t>3</w:t>
      </w:r>
      <w:r>
        <w:fldChar w:fldCharType="end"/>
      </w:r>
      <w:r>
        <w:rPr>
          <w:rFonts w:hint="eastAsia" w:ascii="Times New Roman" w:hAnsi="Times New Roman" w:eastAsia="黑体" w:cs="Times New Roman"/>
          <w:color w:val="000000"/>
          <w:szCs w:val="32"/>
          <w:lang w:val="en-US" w:eastAsia="zh-CN"/>
        </w:rPr>
        <w:fldChar w:fldCharType="end"/>
      </w:r>
    </w:p>
    <w:p w14:paraId="5B90D425">
      <w:pPr>
        <w:pStyle w:val="8"/>
        <w:tabs>
          <w:tab w:val="right" w:leader="dot" w:pos="8306"/>
        </w:tabs>
        <w:ind w:left="0" w:leftChars="0" w:firstLine="240" w:firstLineChars="100"/>
      </w:pPr>
      <w:r>
        <w:rPr>
          <w:rFonts w:hint="eastAsia" w:ascii="Times New Roman" w:hAnsi="Times New Roman" w:eastAsia="黑体" w:cs="Times New Roman"/>
          <w:color w:val="000000"/>
          <w:szCs w:val="32"/>
          <w:lang w:val="en-US" w:eastAsia="zh-CN"/>
        </w:rPr>
        <w:fldChar w:fldCharType="begin"/>
      </w:r>
      <w:r>
        <w:rPr>
          <w:rFonts w:hint="eastAsia" w:ascii="Times New Roman" w:hAnsi="Times New Roman" w:eastAsia="黑体" w:cs="Times New Roman"/>
          <w:szCs w:val="32"/>
          <w:lang w:val="en-US" w:eastAsia="zh-CN"/>
        </w:rPr>
        <w:instrText xml:space="preserve"> HYPERLINK \l _Toc9398 </w:instrText>
      </w:r>
      <w:r>
        <w:rPr>
          <w:rFonts w:hint="eastAsia" w:ascii="Times New Roman" w:hAnsi="Times New Roman" w:eastAsia="黑体" w:cs="Times New Roman"/>
          <w:szCs w:val="32"/>
          <w:lang w:val="en-US" w:eastAsia="zh-CN"/>
        </w:rPr>
        <w:fldChar w:fldCharType="separate"/>
      </w:r>
      <w:r>
        <w:rPr>
          <w:rFonts w:hint="eastAsia" w:ascii="Times New Roman" w:hAnsi="Times New Roman" w:eastAsia="仿宋_GB2312" w:cs="Times New Roman"/>
          <w:bCs/>
          <w:lang w:val="en-US" w:eastAsia="zh-CN"/>
        </w:rPr>
        <w:t>3.3 编制原则</w:t>
      </w:r>
      <w:r>
        <w:tab/>
      </w:r>
      <w:r>
        <w:fldChar w:fldCharType="begin"/>
      </w:r>
      <w:r>
        <w:instrText xml:space="preserve"> PAGEREF _Toc9398 \h </w:instrText>
      </w:r>
      <w:r>
        <w:fldChar w:fldCharType="separate"/>
      </w:r>
      <w:r>
        <w:t>4</w:t>
      </w:r>
      <w:r>
        <w:fldChar w:fldCharType="end"/>
      </w:r>
      <w:r>
        <w:rPr>
          <w:rFonts w:hint="eastAsia" w:ascii="Times New Roman" w:hAnsi="Times New Roman" w:eastAsia="黑体" w:cs="Times New Roman"/>
          <w:color w:val="000000"/>
          <w:szCs w:val="32"/>
          <w:lang w:val="en-US" w:eastAsia="zh-CN"/>
        </w:rPr>
        <w:fldChar w:fldCharType="end"/>
      </w:r>
    </w:p>
    <w:p w14:paraId="56666766">
      <w:pPr>
        <w:pStyle w:val="8"/>
        <w:tabs>
          <w:tab w:val="right" w:leader="dot" w:pos="8306"/>
        </w:tabs>
        <w:ind w:left="0" w:leftChars="0" w:firstLine="240" w:firstLineChars="100"/>
      </w:pPr>
      <w:r>
        <w:rPr>
          <w:rFonts w:hint="eastAsia" w:ascii="Times New Roman" w:hAnsi="Times New Roman" w:eastAsia="黑体" w:cs="Times New Roman"/>
          <w:color w:val="000000"/>
          <w:szCs w:val="32"/>
          <w:lang w:val="en-US" w:eastAsia="zh-CN"/>
        </w:rPr>
        <w:fldChar w:fldCharType="begin"/>
      </w:r>
      <w:r>
        <w:rPr>
          <w:rFonts w:hint="eastAsia" w:ascii="Times New Roman" w:hAnsi="Times New Roman" w:eastAsia="黑体" w:cs="Times New Roman"/>
          <w:szCs w:val="32"/>
          <w:lang w:val="en-US" w:eastAsia="zh-CN"/>
        </w:rPr>
        <w:instrText xml:space="preserve"> HYPERLINK \l _Toc11724 </w:instrText>
      </w:r>
      <w:r>
        <w:rPr>
          <w:rFonts w:hint="eastAsia" w:ascii="Times New Roman" w:hAnsi="Times New Roman" w:eastAsia="黑体" w:cs="Times New Roman"/>
          <w:szCs w:val="32"/>
          <w:lang w:val="en-US" w:eastAsia="zh-CN"/>
        </w:rPr>
        <w:fldChar w:fldCharType="separate"/>
      </w:r>
      <w:r>
        <w:rPr>
          <w:rFonts w:hint="eastAsia" w:ascii="Times New Roman" w:hAnsi="Times New Roman" w:eastAsia="仿宋_GB2312" w:cs="Times New Roman"/>
          <w:bCs/>
          <w:lang w:val="en-US" w:eastAsia="zh-CN"/>
        </w:rPr>
        <w:t>3.4 技术路线</w:t>
      </w:r>
      <w:r>
        <w:tab/>
      </w:r>
      <w:r>
        <w:fldChar w:fldCharType="begin"/>
      </w:r>
      <w:r>
        <w:instrText xml:space="preserve"> PAGEREF _Toc11724 \h </w:instrText>
      </w:r>
      <w:r>
        <w:fldChar w:fldCharType="separate"/>
      </w:r>
      <w:r>
        <w:t>4</w:t>
      </w:r>
      <w:r>
        <w:fldChar w:fldCharType="end"/>
      </w:r>
      <w:r>
        <w:rPr>
          <w:rFonts w:hint="eastAsia" w:ascii="Times New Roman" w:hAnsi="Times New Roman" w:eastAsia="黑体" w:cs="Times New Roman"/>
          <w:color w:val="000000"/>
          <w:szCs w:val="32"/>
          <w:lang w:val="en-US" w:eastAsia="zh-CN"/>
        </w:rPr>
        <w:fldChar w:fldCharType="end"/>
      </w:r>
    </w:p>
    <w:p w14:paraId="613AE6B0">
      <w:pPr>
        <w:pStyle w:val="7"/>
        <w:tabs>
          <w:tab w:val="right" w:leader="dot" w:pos="8306"/>
        </w:tabs>
        <w:ind w:left="0" w:leftChars="0" w:firstLine="0" w:firstLineChars="0"/>
      </w:pPr>
      <w:r>
        <w:rPr>
          <w:rFonts w:hint="eastAsia" w:ascii="Times New Roman" w:hAnsi="Times New Roman" w:eastAsia="黑体" w:cs="Times New Roman"/>
          <w:color w:val="000000"/>
          <w:szCs w:val="32"/>
          <w:lang w:val="en-US" w:eastAsia="zh-CN"/>
        </w:rPr>
        <w:fldChar w:fldCharType="begin"/>
      </w:r>
      <w:r>
        <w:rPr>
          <w:rFonts w:hint="eastAsia" w:ascii="Times New Roman" w:hAnsi="Times New Roman" w:eastAsia="黑体" w:cs="Times New Roman"/>
          <w:szCs w:val="32"/>
          <w:lang w:val="en-US" w:eastAsia="zh-CN"/>
        </w:rPr>
        <w:instrText xml:space="preserve"> HYPERLINK \l _Toc2330 </w:instrText>
      </w:r>
      <w:r>
        <w:rPr>
          <w:rFonts w:hint="eastAsia" w:ascii="Times New Roman" w:hAnsi="Times New Roman" w:eastAsia="黑体" w:cs="Times New Roman"/>
          <w:szCs w:val="32"/>
          <w:lang w:val="en-US" w:eastAsia="zh-CN"/>
        </w:rPr>
        <w:fldChar w:fldCharType="separate"/>
      </w:r>
      <w:r>
        <w:rPr>
          <w:rFonts w:hint="eastAsia" w:ascii="Times New Roman" w:hAnsi="Times New Roman" w:eastAsia="仿宋_GB2312" w:cs="Times New Roman"/>
          <w:bCs/>
          <w:lang w:val="en-US" w:eastAsia="zh-CN"/>
        </w:rPr>
        <w:t>4、标准编制过程</w:t>
      </w:r>
      <w:r>
        <w:tab/>
      </w:r>
      <w:r>
        <w:fldChar w:fldCharType="begin"/>
      </w:r>
      <w:r>
        <w:instrText xml:space="preserve"> PAGEREF _Toc2330 \h </w:instrText>
      </w:r>
      <w:r>
        <w:fldChar w:fldCharType="separate"/>
      </w:r>
      <w:r>
        <w:t>5</w:t>
      </w:r>
      <w:r>
        <w:fldChar w:fldCharType="end"/>
      </w:r>
      <w:r>
        <w:rPr>
          <w:rFonts w:hint="eastAsia" w:ascii="Times New Roman" w:hAnsi="Times New Roman" w:eastAsia="黑体" w:cs="Times New Roman"/>
          <w:color w:val="000000"/>
          <w:szCs w:val="32"/>
          <w:lang w:val="en-US" w:eastAsia="zh-CN"/>
        </w:rPr>
        <w:fldChar w:fldCharType="end"/>
      </w:r>
    </w:p>
    <w:p w14:paraId="48024DF6">
      <w:pPr>
        <w:pStyle w:val="8"/>
        <w:tabs>
          <w:tab w:val="right" w:leader="dot" w:pos="8306"/>
        </w:tabs>
        <w:ind w:left="0" w:leftChars="0" w:firstLine="240" w:firstLineChars="100"/>
      </w:pPr>
      <w:r>
        <w:rPr>
          <w:rFonts w:hint="eastAsia" w:ascii="Times New Roman" w:hAnsi="Times New Roman" w:eastAsia="黑体" w:cs="Times New Roman"/>
          <w:color w:val="000000"/>
          <w:szCs w:val="32"/>
          <w:lang w:val="en-US" w:eastAsia="zh-CN"/>
        </w:rPr>
        <w:fldChar w:fldCharType="begin"/>
      </w:r>
      <w:r>
        <w:rPr>
          <w:rFonts w:hint="eastAsia" w:ascii="Times New Roman" w:hAnsi="Times New Roman" w:eastAsia="黑体" w:cs="Times New Roman"/>
          <w:szCs w:val="32"/>
          <w:lang w:val="en-US" w:eastAsia="zh-CN"/>
        </w:rPr>
        <w:instrText xml:space="preserve"> HYPERLINK \l _Toc24747 </w:instrText>
      </w:r>
      <w:r>
        <w:rPr>
          <w:rFonts w:hint="eastAsia" w:ascii="Times New Roman" w:hAnsi="Times New Roman" w:eastAsia="黑体" w:cs="Times New Roman"/>
          <w:szCs w:val="32"/>
          <w:lang w:val="en-US" w:eastAsia="zh-CN"/>
        </w:rPr>
        <w:fldChar w:fldCharType="separate"/>
      </w:r>
      <w:r>
        <w:rPr>
          <w:rFonts w:hint="eastAsia" w:ascii="Times New Roman" w:hAnsi="Times New Roman" w:eastAsia="仿宋_GB2312" w:cs="Times New Roman"/>
          <w:bCs/>
          <w:lang w:val="en-US" w:eastAsia="zh-CN"/>
        </w:rPr>
        <w:t>4.1 成立编制组</w:t>
      </w:r>
      <w:r>
        <w:tab/>
      </w:r>
      <w:r>
        <w:fldChar w:fldCharType="begin"/>
      </w:r>
      <w:r>
        <w:instrText xml:space="preserve"> PAGEREF _Toc24747 \h </w:instrText>
      </w:r>
      <w:r>
        <w:fldChar w:fldCharType="separate"/>
      </w:r>
      <w:r>
        <w:t>5</w:t>
      </w:r>
      <w:r>
        <w:fldChar w:fldCharType="end"/>
      </w:r>
      <w:r>
        <w:rPr>
          <w:rFonts w:hint="eastAsia" w:ascii="Times New Roman" w:hAnsi="Times New Roman" w:eastAsia="黑体" w:cs="Times New Roman"/>
          <w:color w:val="000000"/>
          <w:szCs w:val="32"/>
          <w:lang w:val="en-US" w:eastAsia="zh-CN"/>
        </w:rPr>
        <w:fldChar w:fldCharType="end"/>
      </w:r>
    </w:p>
    <w:p w14:paraId="7C804F33">
      <w:pPr>
        <w:pStyle w:val="8"/>
        <w:tabs>
          <w:tab w:val="right" w:leader="dot" w:pos="8306"/>
        </w:tabs>
        <w:ind w:left="0" w:leftChars="0" w:firstLine="240" w:firstLineChars="100"/>
      </w:pPr>
      <w:r>
        <w:rPr>
          <w:rFonts w:hint="eastAsia" w:ascii="Times New Roman" w:hAnsi="Times New Roman" w:eastAsia="黑体" w:cs="Times New Roman"/>
          <w:color w:val="000000"/>
          <w:szCs w:val="32"/>
          <w:lang w:val="en-US" w:eastAsia="zh-CN"/>
        </w:rPr>
        <w:fldChar w:fldCharType="begin"/>
      </w:r>
      <w:r>
        <w:rPr>
          <w:rFonts w:hint="eastAsia" w:ascii="Times New Roman" w:hAnsi="Times New Roman" w:eastAsia="黑体" w:cs="Times New Roman"/>
          <w:szCs w:val="32"/>
          <w:lang w:val="en-US" w:eastAsia="zh-CN"/>
        </w:rPr>
        <w:instrText xml:space="preserve"> HYPERLINK \l _Toc30198 </w:instrText>
      </w:r>
      <w:r>
        <w:rPr>
          <w:rFonts w:hint="eastAsia" w:ascii="Times New Roman" w:hAnsi="Times New Roman" w:eastAsia="黑体" w:cs="Times New Roman"/>
          <w:szCs w:val="32"/>
          <w:lang w:val="en-US" w:eastAsia="zh-CN"/>
        </w:rPr>
        <w:fldChar w:fldCharType="separate"/>
      </w:r>
      <w:r>
        <w:rPr>
          <w:rFonts w:hint="eastAsia" w:ascii="Times New Roman" w:hAnsi="Times New Roman" w:eastAsia="仿宋_GB2312" w:cs="Times New Roman"/>
          <w:bCs/>
          <w:lang w:val="en-US" w:eastAsia="zh-CN"/>
        </w:rPr>
        <w:t>4.2 现有研究基础</w:t>
      </w:r>
      <w:r>
        <w:tab/>
      </w:r>
      <w:r>
        <w:fldChar w:fldCharType="begin"/>
      </w:r>
      <w:r>
        <w:instrText xml:space="preserve"> PAGEREF _Toc30198 \h </w:instrText>
      </w:r>
      <w:r>
        <w:fldChar w:fldCharType="separate"/>
      </w:r>
      <w:r>
        <w:t>5</w:t>
      </w:r>
      <w:r>
        <w:fldChar w:fldCharType="end"/>
      </w:r>
      <w:r>
        <w:rPr>
          <w:rFonts w:hint="eastAsia" w:ascii="Times New Roman" w:hAnsi="Times New Roman" w:eastAsia="黑体" w:cs="Times New Roman"/>
          <w:color w:val="000000"/>
          <w:szCs w:val="32"/>
          <w:lang w:val="en-US" w:eastAsia="zh-CN"/>
        </w:rPr>
        <w:fldChar w:fldCharType="end"/>
      </w:r>
    </w:p>
    <w:p w14:paraId="0BFF2886">
      <w:pPr>
        <w:pStyle w:val="8"/>
        <w:tabs>
          <w:tab w:val="right" w:leader="dot" w:pos="8306"/>
        </w:tabs>
        <w:ind w:left="0" w:leftChars="0" w:firstLine="240" w:firstLineChars="100"/>
      </w:pPr>
      <w:r>
        <w:rPr>
          <w:rFonts w:hint="eastAsia" w:ascii="Times New Roman" w:hAnsi="Times New Roman" w:eastAsia="黑体" w:cs="Times New Roman"/>
          <w:color w:val="000000"/>
          <w:szCs w:val="32"/>
          <w:lang w:val="en-US" w:eastAsia="zh-CN"/>
        </w:rPr>
        <w:fldChar w:fldCharType="begin"/>
      </w:r>
      <w:r>
        <w:rPr>
          <w:rFonts w:hint="eastAsia" w:ascii="Times New Roman" w:hAnsi="Times New Roman" w:eastAsia="黑体" w:cs="Times New Roman"/>
          <w:szCs w:val="32"/>
          <w:lang w:val="en-US" w:eastAsia="zh-CN"/>
        </w:rPr>
        <w:instrText xml:space="preserve"> HYPERLINK \l _Toc6349 </w:instrText>
      </w:r>
      <w:r>
        <w:rPr>
          <w:rFonts w:hint="eastAsia" w:ascii="Times New Roman" w:hAnsi="Times New Roman" w:eastAsia="黑体" w:cs="Times New Roman"/>
          <w:szCs w:val="32"/>
          <w:lang w:val="en-US" w:eastAsia="zh-CN"/>
        </w:rPr>
        <w:fldChar w:fldCharType="separate"/>
      </w:r>
      <w:r>
        <w:rPr>
          <w:rFonts w:hint="eastAsia" w:ascii="Times New Roman" w:hAnsi="Times New Roman" w:eastAsia="仿宋_GB2312" w:cs="Times New Roman"/>
          <w:bCs/>
          <w:lang w:val="en-US" w:eastAsia="zh-CN"/>
        </w:rPr>
        <w:t>4.3 理论研究过程</w:t>
      </w:r>
      <w:r>
        <w:tab/>
      </w:r>
      <w:r>
        <w:fldChar w:fldCharType="begin"/>
      </w:r>
      <w:r>
        <w:instrText xml:space="preserve"> PAGEREF _Toc6349 \h </w:instrText>
      </w:r>
      <w:r>
        <w:fldChar w:fldCharType="separate"/>
      </w:r>
      <w:r>
        <w:t>5</w:t>
      </w:r>
      <w:r>
        <w:fldChar w:fldCharType="end"/>
      </w:r>
      <w:r>
        <w:rPr>
          <w:rFonts w:hint="eastAsia" w:ascii="Times New Roman" w:hAnsi="Times New Roman" w:eastAsia="黑体" w:cs="Times New Roman"/>
          <w:color w:val="000000"/>
          <w:szCs w:val="32"/>
          <w:lang w:val="en-US" w:eastAsia="zh-CN"/>
        </w:rPr>
        <w:fldChar w:fldCharType="end"/>
      </w:r>
    </w:p>
    <w:p w14:paraId="67F1B4EA">
      <w:pPr>
        <w:pStyle w:val="8"/>
        <w:tabs>
          <w:tab w:val="right" w:leader="dot" w:pos="8306"/>
        </w:tabs>
        <w:ind w:left="0" w:leftChars="0" w:firstLine="240" w:firstLineChars="100"/>
      </w:pPr>
      <w:r>
        <w:rPr>
          <w:rFonts w:hint="eastAsia" w:ascii="Times New Roman" w:hAnsi="Times New Roman" w:eastAsia="黑体" w:cs="Times New Roman"/>
          <w:color w:val="000000"/>
          <w:szCs w:val="32"/>
          <w:lang w:val="en-US" w:eastAsia="zh-CN"/>
        </w:rPr>
        <w:fldChar w:fldCharType="begin"/>
      </w:r>
      <w:r>
        <w:rPr>
          <w:rFonts w:hint="eastAsia" w:ascii="Times New Roman" w:hAnsi="Times New Roman" w:eastAsia="黑体" w:cs="Times New Roman"/>
          <w:szCs w:val="32"/>
          <w:lang w:val="en-US" w:eastAsia="zh-CN"/>
        </w:rPr>
        <w:instrText xml:space="preserve"> HYPERLINK \l _Toc9237 </w:instrText>
      </w:r>
      <w:r>
        <w:rPr>
          <w:rFonts w:hint="eastAsia" w:ascii="Times New Roman" w:hAnsi="Times New Roman" w:eastAsia="黑体" w:cs="Times New Roman"/>
          <w:szCs w:val="32"/>
          <w:lang w:val="en-US" w:eastAsia="zh-CN"/>
        </w:rPr>
        <w:fldChar w:fldCharType="separate"/>
      </w:r>
      <w:r>
        <w:rPr>
          <w:rFonts w:hint="eastAsia" w:ascii="Times New Roman" w:hAnsi="Times New Roman" w:eastAsia="仿宋_GB2312" w:cs="Times New Roman"/>
          <w:bCs/>
          <w:lang w:val="en-US" w:eastAsia="zh-CN"/>
        </w:rPr>
        <w:t>4.4 调</w:t>
      </w:r>
      <w:r>
        <w:rPr>
          <w:rFonts w:hint="eastAsia" w:eastAsia="仿宋_GB2312" w:cs="Times New Roman"/>
          <w:bCs/>
          <w:lang w:val="en-US" w:eastAsia="zh-CN"/>
        </w:rPr>
        <w:t>查</w:t>
      </w:r>
      <w:r>
        <w:rPr>
          <w:rFonts w:hint="eastAsia" w:ascii="Times New Roman" w:hAnsi="Times New Roman" w:eastAsia="仿宋_GB2312" w:cs="Times New Roman"/>
          <w:bCs/>
          <w:lang w:val="en-US" w:eastAsia="zh-CN"/>
        </w:rPr>
        <w:t>研究</w:t>
      </w:r>
      <w:r>
        <w:tab/>
      </w:r>
      <w:r>
        <w:fldChar w:fldCharType="begin"/>
      </w:r>
      <w:r>
        <w:instrText xml:space="preserve"> PAGEREF _Toc9237 \h </w:instrText>
      </w:r>
      <w:r>
        <w:fldChar w:fldCharType="separate"/>
      </w:r>
      <w:r>
        <w:t>6</w:t>
      </w:r>
      <w:r>
        <w:fldChar w:fldCharType="end"/>
      </w:r>
      <w:r>
        <w:rPr>
          <w:rFonts w:hint="eastAsia" w:ascii="Times New Roman" w:hAnsi="Times New Roman" w:eastAsia="黑体" w:cs="Times New Roman"/>
          <w:color w:val="000000"/>
          <w:szCs w:val="32"/>
          <w:lang w:val="en-US" w:eastAsia="zh-CN"/>
        </w:rPr>
        <w:fldChar w:fldCharType="end"/>
      </w:r>
    </w:p>
    <w:p w14:paraId="2BCA0841">
      <w:pPr>
        <w:pStyle w:val="8"/>
        <w:tabs>
          <w:tab w:val="right" w:leader="dot" w:pos="8306"/>
        </w:tabs>
        <w:ind w:left="0" w:leftChars="0" w:firstLine="240" w:firstLineChars="100"/>
      </w:pPr>
      <w:r>
        <w:rPr>
          <w:rFonts w:hint="eastAsia" w:ascii="Times New Roman" w:hAnsi="Times New Roman" w:eastAsia="黑体" w:cs="Times New Roman"/>
          <w:color w:val="000000"/>
          <w:szCs w:val="32"/>
          <w:lang w:val="en-US" w:eastAsia="zh-CN"/>
        </w:rPr>
        <w:fldChar w:fldCharType="begin"/>
      </w:r>
      <w:r>
        <w:rPr>
          <w:rFonts w:hint="eastAsia" w:ascii="Times New Roman" w:hAnsi="Times New Roman" w:eastAsia="黑体" w:cs="Times New Roman"/>
          <w:szCs w:val="32"/>
          <w:lang w:val="en-US" w:eastAsia="zh-CN"/>
        </w:rPr>
        <w:instrText xml:space="preserve"> HYPERLINK \l _Toc4869 </w:instrText>
      </w:r>
      <w:r>
        <w:rPr>
          <w:rFonts w:hint="eastAsia" w:ascii="Times New Roman" w:hAnsi="Times New Roman" w:eastAsia="黑体" w:cs="Times New Roman"/>
          <w:szCs w:val="32"/>
          <w:lang w:val="en-US" w:eastAsia="zh-CN"/>
        </w:rPr>
        <w:fldChar w:fldCharType="separate"/>
      </w:r>
      <w:r>
        <w:rPr>
          <w:rFonts w:hint="eastAsia" w:ascii="Times New Roman" w:hAnsi="Times New Roman" w:eastAsia="仿宋_GB2312" w:cs="Times New Roman"/>
          <w:bCs/>
          <w:lang w:val="en-US" w:eastAsia="zh-CN"/>
        </w:rPr>
        <w:t>4.5 编写标准草稿和编制说明</w:t>
      </w:r>
      <w:r>
        <w:tab/>
      </w:r>
      <w:r>
        <w:fldChar w:fldCharType="begin"/>
      </w:r>
      <w:r>
        <w:instrText xml:space="preserve"> PAGEREF _Toc4869 \h </w:instrText>
      </w:r>
      <w:r>
        <w:fldChar w:fldCharType="separate"/>
      </w:r>
      <w:r>
        <w:t>6</w:t>
      </w:r>
      <w:r>
        <w:fldChar w:fldCharType="end"/>
      </w:r>
      <w:r>
        <w:rPr>
          <w:rFonts w:hint="eastAsia" w:ascii="Times New Roman" w:hAnsi="Times New Roman" w:eastAsia="黑体" w:cs="Times New Roman"/>
          <w:color w:val="000000"/>
          <w:szCs w:val="32"/>
          <w:lang w:val="en-US" w:eastAsia="zh-CN"/>
        </w:rPr>
        <w:fldChar w:fldCharType="end"/>
      </w:r>
    </w:p>
    <w:p w14:paraId="50D3301E">
      <w:pPr>
        <w:pStyle w:val="7"/>
        <w:tabs>
          <w:tab w:val="right" w:leader="dot" w:pos="8306"/>
        </w:tabs>
        <w:ind w:left="0" w:leftChars="0" w:firstLine="0" w:firstLineChars="0"/>
      </w:pPr>
      <w:r>
        <w:rPr>
          <w:rFonts w:hint="eastAsia" w:ascii="Times New Roman" w:hAnsi="Times New Roman" w:eastAsia="黑体" w:cs="Times New Roman"/>
          <w:color w:val="000000"/>
          <w:szCs w:val="32"/>
          <w:lang w:val="en-US" w:eastAsia="zh-CN"/>
        </w:rPr>
        <w:fldChar w:fldCharType="begin"/>
      </w:r>
      <w:r>
        <w:rPr>
          <w:rFonts w:hint="eastAsia" w:ascii="Times New Roman" w:hAnsi="Times New Roman" w:eastAsia="黑体" w:cs="Times New Roman"/>
          <w:szCs w:val="32"/>
          <w:lang w:val="en-US" w:eastAsia="zh-CN"/>
        </w:rPr>
        <w:instrText xml:space="preserve"> HYPERLINK \l _Toc3916 </w:instrText>
      </w:r>
      <w:r>
        <w:rPr>
          <w:rFonts w:hint="eastAsia" w:ascii="Times New Roman" w:hAnsi="Times New Roman" w:eastAsia="黑体" w:cs="Times New Roman"/>
          <w:szCs w:val="32"/>
          <w:lang w:val="en-US" w:eastAsia="zh-CN"/>
        </w:rPr>
        <w:fldChar w:fldCharType="separate"/>
      </w:r>
      <w:r>
        <w:rPr>
          <w:rFonts w:hint="eastAsia" w:ascii="Times New Roman" w:hAnsi="Times New Roman" w:eastAsia="仿宋_GB2312" w:cs="Times New Roman"/>
          <w:bCs/>
          <w:lang w:val="en-US" w:eastAsia="zh-CN"/>
        </w:rPr>
        <w:t>5、技术规范主要内容的制定依据</w:t>
      </w:r>
      <w:r>
        <w:tab/>
      </w:r>
      <w:r>
        <w:fldChar w:fldCharType="begin"/>
      </w:r>
      <w:r>
        <w:instrText xml:space="preserve"> PAGEREF _Toc3916 \h </w:instrText>
      </w:r>
      <w:r>
        <w:fldChar w:fldCharType="separate"/>
      </w:r>
      <w:r>
        <w:t>6</w:t>
      </w:r>
      <w:r>
        <w:fldChar w:fldCharType="end"/>
      </w:r>
      <w:r>
        <w:rPr>
          <w:rFonts w:hint="eastAsia" w:ascii="Times New Roman" w:hAnsi="Times New Roman" w:eastAsia="黑体" w:cs="Times New Roman"/>
          <w:color w:val="000000"/>
          <w:szCs w:val="32"/>
          <w:lang w:val="en-US" w:eastAsia="zh-CN"/>
        </w:rPr>
        <w:fldChar w:fldCharType="end"/>
      </w:r>
    </w:p>
    <w:p w14:paraId="5EE5CE6F">
      <w:pPr>
        <w:pStyle w:val="8"/>
        <w:tabs>
          <w:tab w:val="right" w:leader="dot" w:pos="8306"/>
        </w:tabs>
        <w:ind w:left="0" w:leftChars="0" w:firstLine="240" w:firstLineChars="100"/>
      </w:pPr>
      <w:r>
        <w:rPr>
          <w:rFonts w:hint="eastAsia" w:ascii="Times New Roman" w:hAnsi="Times New Roman" w:eastAsia="黑体" w:cs="Times New Roman"/>
          <w:color w:val="000000"/>
          <w:szCs w:val="32"/>
          <w:lang w:val="en-US" w:eastAsia="zh-CN"/>
        </w:rPr>
        <w:fldChar w:fldCharType="begin"/>
      </w:r>
      <w:r>
        <w:rPr>
          <w:rFonts w:hint="eastAsia" w:ascii="Times New Roman" w:hAnsi="Times New Roman" w:eastAsia="黑体" w:cs="Times New Roman"/>
          <w:szCs w:val="32"/>
          <w:lang w:val="en-US" w:eastAsia="zh-CN"/>
        </w:rPr>
        <w:instrText xml:space="preserve"> HYPERLINK \l _Toc3296 </w:instrText>
      </w:r>
      <w:r>
        <w:rPr>
          <w:rFonts w:hint="eastAsia" w:ascii="Times New Roman" w:hAnsi="Times New Roman" w:eastAsia="黑体" w:cs="Times New Roman"/>
          <w:szCs w:val="32"/>
          <w:lang w:val="en-US" w:eastAsia="zh-CN"/>
        </w:rPr>
        <w:fldChar w:fldCharType="separate"/>
      </w:r>
      <w:r>
        <w:rPr>
          <w:rFonts w:hint="eastAsia" w:ascii="Times New Roman" w:hAnsi="Times New Roman" w:eastAsia="仿宋_GB2312" w:cs="Times New Roman"/>
          <w:bCs/>
          <w:lang w:val="en-US" w:eastAsia="zh-CN"/>
        </w:rPr>
        <w:t>5.1 标准框架结构</w:t>
      </w:r>
      <w:r>
        <w:tab/>
      </w:r>
      <w:r>
        <w:fldChar w:fldCharType="begin"/>
      </w:r>
      <w:r>
        <w:instrText xml:space="preserve"> PAGEREF _Toc3296 \h </w:instrText>
      </w:r>
      <w:r>
        <w:fldChar w:fldCharType="separate"/>
      </w:r>
      <w:r>
        <w:t>6</w:t>
      </w:r>
      <w:r>
        <w:fldChar w:fldCharType="end"/>
      </w:r>
      <w:r>
        <w:rPr>
          <w:rFonts w:hint="eastAsia" w:ascii="Times New Roman" w:hAnsi="Times New Roman" w:eastAsia="黑体" w:cs="Times New Roman"/>
          <w:color w:val="000000"/>
          <w:szCs w:val="32"/>
          <w:lang w:val="en-US" w:eastAsia="zh-CN"/>
        </w:rPr>
        <w:fldChar w:fldCharType="end"/>
      </w:r>
    </w:p>
    <w:p w14:paraId="17617884">
      <w:pPr>
        <w:pStyle w:val="8"/>
        <w:tabs>
          <w:tab w:val="right" w:leader="dot" w:pos="8306"/>
        </w:tabs>
        <w:ind w:left="0" w:leftChars="0" w:firstLine="240" w:firstLineChars="100"/>
      </w:pPr>
      <w:r>
        <w:rPr>
          <w:rFonts w:hint="eastAsia" w:ascii="Times New Roman" w:hAnsi="Times New Roman" w:eastAsia="黑体" w:cs="Times New Roman"/>
          <w:color w:val="000000"/>
          <w:szCs w:val="32"/>
          <w:lang w:val="en-US" w:eastAsia="zh-CN"/>
        </w:rPr>
        <w:fldChar w:fldCharType="begin"/>
      </w:r>
      <w:r>
        <w:rPr>
          <w:rFonts w:hint="eastAsia" w:ascii="Times New Roman" w:hAnsi="Times New Roman" w:eastAsia="黑体" w:cs="Times New Roman"/>
          <w:szCs w:val="32"/>
          <w:lang w:val="en-US" w:eastAsia="zh-CN"/>
        </w:rPr>
        <w:instrText xml:space="preserve"> HYPERLINK \l _Toc5082 </w:instrText>
      </w:r>
      <w:r>
        <w:rPr>
          <w:rFonts w:hint="eastAsia" w:ascii="Times New Roman" w:hAnsi="Times New Roman" w:eastAsia="黑体" w:cs="Times New Roman"/>
          <w:szCs w:val="32"/>
          <w:lang w:val="en-US" w:eastAsia="zh-CN"/>
        </w:rPr>
        <w:fldChar w:fldCharType="separate"/>
      </w:r>
      <w:r>
        <w:rPr>
          <w:rFonts w:hint="eastAsia" w:ascii="Times New Roman" w:hAnsi="Times New Roman" w:eastAsia="仿宋_GB2312" w:cs="Times New Roman"/>
          <w:bCs/>
          <w:lang w:val="en-US" w:eastAsia="zh-CN"/>
        </w:rPr>
        <w:t>5.2 条文说明</w:t>
      </w:r>
      <w:r>
        <w:tab/>
      </w:r>
      <w:r>
        <w:fldChar w:fldCharType="begin"/>
      </w:r>
      <w:r>
        <w:instrText xml:space="preserve"> PAGEREF _Toc5082 \h </w:instrText>
      </w:r>
      <w:r>
        <w:fldChar w:fldCharType="separate"/>
      </w:r>
      <w:r>
        <w:t>7</w:t>
      </w:r>
      <w:r>
        <w:fldChar w:fldCharType="end"/>
      </w:r>
      <w:r>
        <w:rPr>
          <w:rFonts w:hint="eastAsia" w:ascii="Times New Roman" w:hAnsi="Times New Roman" w:eastAsia="黑体" w:cs="Times New Roman"/>
          <w:color w:val="000000"/>
          <w:szCs w:val="32"/>
          <w:lang w:val="en-US" w:eastAsia="zh-CN"/>
        </w:rPr>
        <w:fldChar w:fldCharType="end"/>
      </w:r>
    </w:p>
    <w:p w14:paraId="28B250F9">
      <w:pPr>
        <w:pStyle w:val="7"/>
        <w:tabs>
          <w:tab w:val="right" w:leader="dot" w:pos="8306"/>
        </w:tabs>
        <w:ind w:left="0" w:leftChars="0" w:firstLine="0" w:firstLineChars="0"/>
      </w:pPr>
      <w:r>
        <w:rPr>
          <w:rFonts w:hint="eastAsia" w:ascii="Times New Roman" w:hAnsi="Times New Roman" w:eastAsia="黑体" w:cs="Times New Roman"/>
          <w:color w:val="000000"/>
          <w:szCs w:val="32"/>
          <w:lang w:val="en-US" w:eastAsia="zh-CN"/>
        </w:rPr>
        <w:fldChar w:fldCharType="begin"/>
      </w:r>
      <w:r>
        <w:rPr>
          <w:rFonts w:hint="eastAsia" w:ascii="Times New Roman" w:hAnsi="Times New Roman" w:eastAsia="黑体" w:cs="Times New Roman"/>
          <w:szCs w:val="32"/>
          <w:lang w:val="en-US" w:eastAsia="zh-CN"/>
        </w:rPr>
        <w:instrText xml:space="preserve"> HYPERLINK \l _Toc15099 </w:instrText>
      </w:r>
      <w:r>
        <w:rPr>
          <w:rFonts w:hint="eastAsia" w:ascii="Times New Roman" w:hAnsi="Times New Roman" w:eastAsia="黑体" w:cs="Times New Roman"/>
          <w:szCs w:val="32"/>
          <w:lang w:val="en-US" w:eastAsia="zh-CN"/>
        </w:rPr>
        <w:fldChar w:fldCharType="separate"/>
      </w:r>
      <w:r>
        <w:rPr>
          <w:rFonts w:hint="eastAsia" w:ascii="Times New Roman" w:hAnsi="Times New Roman" w:eastAsia="仿宋_GB2312" w:cs="Times New Roman"/>
          <w:bCs/>
          <w:lang w:val="en-US" w:eastAsia="zh-CN"/>
        </w:rPr>
        <w:t>6、本标准的相关建议</w:t>
      </w:r>
      <w:r>
        <w:tab/>
      </w:r>
      <w:r>
        <w:fldChar w:fldCharType="begin"/>
      </w:r>
      <w:r>
        <w:instrText xml:space="preserve"> PAGEREF _Toc15099 \h </w:instrText>
      </w:r>
      <w:r>
        <w:fldChar w:fldCharType="separate"/>
      </w:r>
      <w:r>
        <w:t>19</w:t>
      </w:r>
      <w:r>
        <w:fldChar w:fldCharType="end"/>
      </w:r>
      <w:r>
        <w:rPr>
          <w:rFonts w:hint="eastAsia" w:ascii="Times New Roman" w:hAnsi="Times New Roman" w:eastAsia="黑体" w:cs="Times New Roman"/>
          <w:color w:val="000000"/>
          <w:szCs w:val="32"/>
          <w:lang w:val="en-US" w:eastAsia="zh-CN"/>
        </w:rPr>
        <w:fldChar w:fldCharType="end"/>
      </w:r>
    </w:p>
    <w:p w14:paraId="571E00E8">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firstLine="0" w:firstLineChars="0"/>
        <w:jc w:val="both"/>
        <w:textAlignment w:val="auto"/>
        <w:rPr>
          <w:rFonts w:hint="eastAsia" w:ascii="Times New Roman" w:hAnsi="Times New Roman" w:eastAsia="黑体" w:cs="Times New Roman"/>
          <w:color w:val="000000"/>
          <w:sz w:val="32"/>
          <w:szCs w:val="32"/>
          <w:lang w:val="en-US" w:eastAsia="zh-CN"/>
        </w:rPr>
      </w:pPr>
      <w:r>
        <w:rPr>
          <w:rFonts w:hint="eastAsia" w:ascii="Times New Roman" w:hAnsi="Times New Roman" w:eastAsia="黑体" w:cs="Times New Roman"/>
          <w:color w:val="000000"/>
          <w:szCs w:val="32"/>
          <w:lang w:val="en-US" w:eastAsia="zh-CN"/>
        </w:rPr>
        <w:fldChar w:fldCharType="end"/>
      </w:r>
    </w:p>
    <w:p w14:paraId="7E691D8A">
      <w:pPr>
        <w:ind w:left="0" w:leftChars="0" w:firstLine="0" w:firstLineChars="0"/>
        <w:jc w:val="center"/>
        <w:rPr>
          <w:rFonts w:hint="eastAsia"/>
          <w:lang w:val="en-US" w:eastAsia="zh-CN"/>
        </w:rPr>
      </w:pPr>
    </w:p>
    <w:p w14:paraId="36B4F344">
      <w:pPr>
        <w:keepNext w:val="0"/>
        <w:keepLines w:val="0"/>
        <w:pageBreakBefore w:val="0"/>
        <w:numPr>
          <w:ilvl w:val="0"/>
          <w:numId w:val="0"/>
        </w:numPr>
        <w:kinsoku/>
        <w:wordWrap/>
        <w:overflowPunct/>
        <w:topLinePunct w:val="0"/>
        <w:autoSpaceDE/>
        <w:autoSpaceDN/>
        <w:bidi w:val="0"/>
        <w:snapToGrid/>
        <w:spacing w:line="480" w:lineRule="exact"/>
        <w:ind w:leftChars="0"/>
        <w:jc w:val="both"/>
        <w:textAlignment w:val="auto"/>
        <w:rPr>
          <w:rFonts w:hint="eastAsia" w:eastAsia="仿宋_GB2312" w:cs="Times New Roman"/>
          <w:b/>
          <w:bCs/>
          <w:color w:val="auto"/>
          <w:lang w:val="en-US" w:eastAsia="zh-CN"/>
        </w:rPr>
        <w:sectPr>
          <w:footerReference r:id="rId5" w:type="default"/>
          <w:pgSz w:w="11906" w:h="16838"/>
          <w:pgMar w:top="1440" w:right="1800" w:bottom="1440" w:left="1800" w:header="851" w:footer="992" w:gutter="0"/>
          <w:pgNumType w:fmt="decimal"/>
          <w:cols w:space="425" w:num="1"/>
          <w:docGrid w:type="lines" w:linePitch="312" w:charSpace="0"/>
        </w:sectPr>
      </w:pPr>
    </w:p>
    <w:p w14:paraId="19F2C1A8">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jc w:val="both"/>
        <w:textAlignment w:val="auto"/>
        <w:outlineLvl w:val="0"/>
        <w:rPr>
          <w:rFonts w:hint="eastAsia" w:eastAsia="仿宋_GB2312" w:cs="Times New Roman"/>
          <w:b/>
          <w:bCs/>
          <w:color w:val="auto"/>
          <w:lang w:val="en-US" w:eastAsia="zh-CN"/>
        </w:rPr>
      </w:pPr>
      <w:bookmarkStart w:id="0" w:name="_Toc20517"/>
      <w:bookmarkStart w:id="1" w:name="_Toc11596"/>
      <w:r>
        <w:rPr>
          <w:rFonts w:hint="eastAsia" w:eastAsia="仿宋_GB2312" w:cs="Times New Roman"/>
          <w:b/>
          <w:bCs/>
          <w:color w:val="auto"/>
          <w:lang w:val="en-US" w:eastAsia="zh-CN"/>
        </w:rPr>
        <w:t>1、任务来源</w:t>
      </w:r>
      <w:bookmarkEnd w:id="0"/>
      <w:bookmarkEnd w:id="1"/>
      <w:r>
        <w:rPr>
          <w:rFonts w:hint="eastAsia" w:eastAsia="仿宋_GB2312" w:cs="Times New Roman"/>
          <w:b/>
          <w:bCs/>
          <w:color w:val="auto"/>
          <w:lang w:val="en-US" w:eastAsia="zh-CN"/>
        </w:rPr>
        <w:t xml:space="preserve"> </w:t>
      </w:r>
    </w:p>
    <w:p w14:paraId="4C9AC814">
      <w:pPr>
        <w:keepNext w:val="0"/>
        <w:keepLines w:val="0"/>
        <w:pageBreakBefore w:val="0"/>
        <w:widowControl/>
        <w:suppressLineNumbers w:val="0"/>
        <w:kinsoku/>
        <w:wordWrap/>
        <w:overflowPunct/>
        <w:topLinePunct w:val="0"/>
        <w:autoSpaceDE/>
        <w:autoSpaceDN/>
        <w:bidi w:val="0"/>
        <w:snapToGrid/>
        <w:spacing w:line="480" w:lineRule="exact"/>
        <w:ind w:firstLine="480" w:firstLineChars="200"/>
        <w:jc w:val="left"/>
        <w:textAlignment w:val="auto"/>
        <w:rPr>
          <w:rFonts w:hint="eastAsia" w:ascii="Times New Roman" w:hAnsi="Times New Roman" w:eastAsia="仿宋" w:cs="Times New Roman"/>
          <w:sz w:val="24"/>
          <w:szCs w:val="24"/>
          <w:lang w:val="en-US" w:eastAsia="zh-CN" w:bidi="ar"/>
        </w:rPr>
      </w:pPr>
      <w:r>
        <w:rPr>
          <w:rFonts w:ascii="Times New Roman" w:hAnsi="Times New Roman" w:eastAsia="仿宋" w:cs="Times New Roman"/>
          <w:sz w:val="24"/>
          <w:szCs w:val="24"/>
          <w:lang w:bidi="ar"/>
        </w:rPr>
        <w:t>依据《江西省市场监管局关于下达2024年第四批江西省地方标准制修订计划的通知》，</w:t>
      </w:r>
      <w:r>
        <w:rPr>
          <w:rFonts w:hint="eastAsia" w:ascii="Times New Roman" w:hAnsi="Times New Roman" w:eastAsia="仿宋" w:cs="Times New Roman"/>
          <w:sz w:val="24"/>
          <w:szCs w:val="24"/>
          <w:lang w:eastAsia="zh-CN" w:bidi="ar"/>
        </w:rPr>
        <w:t>《</w:t>
      </w:r>
      <w:r>
        <w:rPr>
          <w:rFonts w:ascii="Times New Roman" w:hAnsi="Times New Roman" w:eastAsia="仿宋" w:cs="Times New Roman"/>
          <w:sz w:val="24"/>
          <w:szCs w:val="24"/>
          <w:lang w:bidi="ar"/>
        </w:rPr>
        <w:t>淡水生物环境DNA监测技术规范 大型底栖生物</w:t>
      </w:r>
      <w:r>
        <w:rPr>
          <w:rFonts w:hint="eastAsia" w:ascii="Times New Roman" w:hAnsi="Times New Roman" w:eastAsia="仿宋" w:cs="Times New Roman"/>
          <w:sz w:val="24"/>
          <w:szCs w:val="24"/>
          <w:lang w:eastAsia="zh-CN" w:bidi="ar"/>
        </w:rPr>
        <w:t>》（</w:t>
      </w:r>
      <w:r>
        <w:rPr>
          <w:rFonts w:ascii="Times New Roman" w:hAnsi="Times New Roman" w:eastAsia="仿宋" w:cs="Times New Roman"/>
          <w:sz w:val="24"/>
          <w:szCs w:val="24"/>
          <w:lang w:bidi="ar"/>
        </w:rPr>
        <w:t>DB36-2024-4-03</w:t>
      </w:r>
      <w:r>
        <w:rPr>
          <w:rFonts w:hint="eastAsia" w:ascii="Times New Roman" w:hAnsi="Times New Roman" w:eastAsia="仿宋" w:cs="Times New Roman"/>
          <w:sz w:val="24"/>
          <w:szCs w:val="24"/>
          <w:lang w:eastAsia="zh-CN" w:bidi="ar"/>
        </w:rPr>
        <w:t>）</w:t>
      </w:r>
      <w:r>
        <w:rPr>
          <w:rFonts w:ascii="Times New Roman" w:hAnsi="Times New Roman" w:eastAsia="仿宋" w:cs="Times New Roman"/>
          <w:sz w:val="24"/>
          <w:szCs w:val="24"/>
          <w:lang w:bidi="ar"/>
        </w:rPr>
        <w:t>的编制任务已于2024年</w:t>
      </w:r>
      <w:r>
        <w:rPr>
          <w:rFonts w:hint="eastAsia" w:ascii="Times New Roman" w:hAnsi="Times New Roman" w:eastAsia="仿宋" w:cs="Times New Roman"/>
          <w:sz w:val="24"/>
          <w:szCs w:val="24"/>
          <w:lang w:val="en-US" w:eastAsia="zh-CN" w:bidi="ar"/>
        </w:rPr>
        <w:t>6</w:t>
      </w:r>
      <w:r>
        <w:rPr>
          <w:rFonts w:ascii="Times New Roman" w:hAnsi="Times New Roman" w:eastAsia="仿宋" w:cs="Times New Roman"/>
          <w:sz w:val="24"/>
          <w:szCs w:val="24"/>
          <w:lang w:bidi="ar"/>
        </w:rPr>
        <w:t>月</w:t>
      </w:r>
      <w:r>
        <w:rPr>
          <w:rFonts w:hint="eastAsia" w:ascii="Times New Roman" w:hAnsi="Times New Roman" w:eastAsia="仿宋" w:cs="Times New Roman"/>
          <w:sz w:val="24"/>
          <w:szCs w:val="24"/>
          <w:lang w:val="en-US" w:eastAsia="zh-CN" w:bidi="ar"/>
        </w:rPr>
        <w:t>11日</w:t>
      </w:r>
      <w:r>
        <w:rPr>
          <w:rFonts w:ascii="Times New Roman" w:hAnsi="Times New Roman" w:eastAsia="仿宋" w:cs="Times New Roman"/>
          <w:sz w:val="24"/>
          <w:szCs w:val="24"/>
          <w:lang w:bidi="ar"/>
        </w:rPr>
        <w:t>正式下达。</w:t>
      </w:r>
      <w:r>
        <w:rPr>
          <w:rFonts w:hint="default" w:ascii="Times New Roman" w:hAnsi="Times New Roman" w:eastAsia="仿宋" w:cs="Times New Roman"/>
          <w:sz w:val="24"/>
          <w:szCs w:val="24"/>
          <w:lang w:val="en-US" w:bidi="ar"/>
        </w:rPr>
        <w:t>江西省生态环境科学研究与规划院</w:t>
      </w:r>
      <w:r>
        <w:rPr>
          <w:rFonts w:hint="default" w:ascii="Times New Roman" w:hAnsi="Times New Roman" w:eastAsia="仿宋" w:cs="Times New Roman"/>
          <w:sz w:val="24"/>
          <w:szCs w:val="24"/>
          <w:lang w:val="en-US" w:eastAsia="zh-CN" w:bidi="ar"/>
        </w:rPr>
        <w:t>作为承担单位</w:t>
      </w:r>
      <w:r>
        <w:rPr>
          <w:rFonts w:hint="default" w:ascii="Times New Roman" w:hAnsi="Times New Roman" w:eastAsia="仿宋" w:cs="Times New Roman"/>
          <w:sz w:val="24"/>
          <w:szCs w:val="24"/>
          <w:lang w:val="en-US" w:bidi="ar"/>
        </w:rPr>
        <w:t>，</w:t>
      </w:r>
      <w:r>
        <w:rPr>
          <w:rFonts w:hint="eastAsia" w:ascii="Times New Roman" w:hAnsi="Times New Roman" w:eastAsia="仿宋" w:cs="Times New Roman"/>
          <w:sz w:val="24"/>
          <w:szCs w:val="24"/>
          <w:lang w:val="en-US" w:eastAsia="zh-CN" w:bidi="ar"/>
        </w:rPr>
        <w:t>中国科学院水生生物研究所</w:t>
      </w:r>
      <w:r>
        <w:rPr>
          <w:rFonts w:hint="default" w:ascii="Times New Roman" w:hAnsi="Times New Roman" w:eastAsia="仿宋" w:cs="Times New Roman"/>
          <w:sz w:val="24"/>
          <w:szCs w:val="24"/>
          <w:lang w:val="en-US" w:eastAsia="zh-CN" w:bidi="ar"/>
        </w:rPr>
        <w:t>作为协作单位</w:t>
      </w:r>
      <w:r>
        <w:rPr>
          <w:rFonts w:hint="default" w:ascii="Times New Roman" w:hAnsi="Times New Roman" w:eastAsia="仿宋" w:cs="Times New Roman"/>
          <w:sz w:val="24"/>
          <w:szCs w:val="24"/>
          <w:lang w:val="en-US" w:bidi="ar"/>
        </w:rPr>
        <w:t>共同开展</w:t>
      </w:r>
      <w:r>
        <w:rPr>
          <w:rFonts w:hint="default" w:ascii="Times New Roman" w:hAnsi="Times New Roman" w:eastAsia="仿宋" w:cs="Times New Roman"/>
          <w:sz w:val="24"/>
          <w:szCs w:val="24"/>
          <w:lang w:val="en-US" w:eastAsia="zh-CN" w:bidi="ar"/>
        </w:rPr>
        <w:t>《</w:t>
      </w:r>
      <w:r>
        <w:rPr>
          <w:rFonts w:ascii="Times New Roman" w:hAnsi="Times New Roman" w:eastAsia="仿宋" w:cs="Times New Roman"/>
          <w:sz w:val="24"/>
          <w:szCs w:val="24"/>
          <w:lang w:bidi="ar"/>
        </w:rPr>
        <w:t>淡水生物环境DNA监测技术规范 大型底栖生物</w:t>
      </w:r>
      <w:r>
        <w:rPr>
          <w:rFonts w:hint="default" w:ascii="Times New Roman" w:hAnsi="Times New Roman" w:eastAsia="仿宋" w:cs="Times New Roman"/>
          <w:sz w:val="24"/>
          <w:szCs w:val="24"/>
          <w:lang w:val="en-US" w:eastAsia="zh-CN" w:bidi="ar"/>
        </w:rPr>
        <w:t>》制定工作</w:t>
      </w:r>
      <w:r>
        <w:rPr>
          <w:rFonts w:hint="default" w:ascii="Times New Roman" w:hAnsi="Times New Roman" w:eastAsia="仿宋" w:cs="Times New Roman"/>
          <w:sz w:val="24"/>
          <w:szCs w:val="24"/>
          <w:lang w:val="en-US" w:bidi="ar"/>
        </w:rPr>
        <w:t>。</w:t>
      </w:r>
    </w:p>
    <w:p w14:paraId="2588F406">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jc w:val="both"/>
        <w:textAlignment w:val="auto"/>
        <w:outlineLvl w:val="0"/>
        <w:rPr>
          <w:rFonts w:hint="default" w:ascii="Times New Roman" w:hAnsi="Times New Roman" w:eastAsia="仿宋_GB2312" w:cs="Times New Roman"/>
          <w:b/>
          <w:bCs/>
          <w:color w:val="auto"/>
          <w:lang w:val="en-US" w:eastAsia="zh-CN"/>
        </w:rPr>
      </w:pPr>
      <w:bookmarkStart w:id="2" w:name="_Toc5594"/>
      <w:bookmarkStart w:id="3" w:name="_Toc10784"/>
      <w:r>
        <w:rPr>
          <w:rFonts w:hint="eastAsia" w:ascii="Times New Roman" w:hAnsi="Times New Roman" w:eastAsia="仿宋_GB2312" w:cs="Times New Roman"/>
          <w:b/>
          <w:bCs/>
          <w:color w:val="auto"/>
          <w:lang w:val="en-US" w:eastAsia="zh-CN"/>
        </w:rPr>
        <w:t>2、标准制定的意义和必要性分析</w:t>
      </w:r>
      <w:bookmarkEnd w:id="2"/>
      <w:bookmarkEnd w:id="3"/>
    </w:p>
    <w:p w14:paraId="40008B22">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outlineLvl w:val="1"/>
        <w:rPr>
          <w:rFonts w:hint="default" w:ascii="Times New Roman" w:hAnsi="Times New Roman" w:eastAsia="仿宋_GB2312" w:cs="Times New Roman"/>
          <w:b/>
          <w:bCs/>
          <w:color w:val="auto"/>
          <w:lang w:val="en-US" w:eastAsia="zh-CN"/>
        </w:rPr>
      </w:pPr>
      <w:bookmarkStart w:id="4" w:name="_Toc31889"/>
      <w:bookmarkStart w:id="5" w:name="_Toc14"/>
      <w:r>
        <w:rPr>
          <w:rFonts w:hint="eastAsia" w:ascii="Times New Roman" w:hAnsi="Times New Roman" w:eastAsia="仿宋_GB2312" w:cs="Times New Roman"/>
          <w:b/>
          <w:bCs/>
          <w:color w:val="auto"/>
          <w:lang w:val="en-US" w:eastAsia="zh-CN"/>
        </w:rPr>
        <w:t>2.1 标准制定的目的和意义</w:t>
      </w:r>
      <w:bookmarkEnd w:id="4"/>
      <w:bookmarkEnd w:id="5"/>
    </w:p>
    <w:p w14:paraId="7C1F6269">
      <w:pPr>
        <w:keepNext w:val="0"/>
        <w:keepLines w:val="0"/>
        <w:pageBreakBefore w:val="0"/>
        <w:widowControl/>
        <w:suppressLineNumbers w:val="0"/>
        <w:kinsoku/>
        <w:wordWrap/>
        <w:overflowPunct/>
        <w:topLinePunct w:val="0"/>
        <w:autoSpaceDE/>
        <w:autoSpaceDN/>
        <w:bidi w:val="0"/>
        <w:snapToGrid/>
        <w:spacing w:line="480" w:lineRule="exact"/>
        <w:ind w:left="0" w:leftChars="0" w:firstLine="480" w:firstLineChars="200"/>
        <w:jc w:val="both"/>
        <w:textAlignment w:val="auto"/>
        <w:rPr>
          <w:rFonts w:ascii="Times New Roman" w:hAnsi="Times New Roman" w:eastAsia="仿宋" w:cs="Times New Roman"/>
          <w:sz w:val="24"/>
          <w:szCs w:val="24"/>
          <w:lang w:bidi="ar"/>
        </w:rPr>
      </w:pPr>
      <w:r>
        <w:rPr>
          <w:rFonts w:ascii="Times New Roman" w:hAnsi="Times New Roman" w:eastAsia="仿宋" w:cs="Times New Roman"/>
          <w:sz w:val="24"/>
          <w:szCs w:val="24"/>
          <w:lang w:bidi="ar"/>
        </w:rPr>
        <w:t>生物多样性的保护和水生态系统的健康是全球关注的焦点问题。尽管淡水生态系统仅占地球表面积不到1%，它却孕育了超过10%的人类已知生物种类，地球上约40%的鱼类和超过30%的脊椎动物栖息在这些水域中。然而，淡水生态系统中的生物多样性下降速度比山林、陆地、海洋等其他生态系统更为严重，成为地球上退化最严重的生态系统之一。因此，对淡水生态系统的管理与保护，直接关系到生物多样性的保持和物种灭绝风险的降低，对生态环境的可持续发展至关重要，也更符合生态文明建设的发展理念。</w:t>
      </w:r>
    </w:p>
    <w:p w14:paraId="76008A7E">
      <w:pPr>
        <w:keepNext w:val="0"/>
        <w:keepLines w:val="0"/>
        <w:pageBreakBefore w:val="0"/>
        <w:widowControl/>
        <w:kinsoku/>
        <w:wordWrap/>
        <w:overflowPunct/>
        <w:topLinePunct w:val="0"/>
        <w:autoSpaceDE/>
        <w:autoSpaceDN/>
        <w:bidi w:val="0"/>
        <w:snapToGrid/>
        <w:spacing w:line="480" w:lineRule="exact"/>
        <w:ind w:left="0" w:leftChars="0" w:firstLine="480" w:firstLineChars="200"/>
        <w:jc w:val="left"/>
        <w:textAlignment w:val="auto"/>
        <w:rPr>
          <w:rFonts w:hint="eastAsia" w:eastAsia="仿宋" w:cs="Times New Roman"/>
          <w:sz w:val="24"/>
          <w:szCs w:val="24"/>
          <w:lang w:eastAsia="zh-CN" w:bidi="ar"/>
        </w:rPr>
      </w:pPr>
      <w:r>
        <w:rPr>
          <w:rFonts w:ascii="Times New Roman" w:hAnsi="Times New Roman" w:eastAsia="仿宋" w:cs="Times New Roman"/>
          <w:sz w:val="24"/>
          <w:szCs w:val="24"/>
          <w:lang w:bidi="ar"/>
        </w:rPr>
        <w:t>大型底栖生物广泛分布于水体底部，与周围环境紧密相连，在生态系统的多个关键过程中发挥着不可替代的作用。例如，双壳贝类通过滤食习性摄取浮游植物和有机碎屑中的氮、磷等营养元素，它们死亡后，这些营养物质重新进入底栖环境，促进了水体与底质之间的物质循环。沉积食性的多毛类蠕虫通过分解底质有机碎屑，将复杂有机物转化为简单无机物，为物质循环提供持续动力。在食物链中，初级消费者螺类以藻类为食，次级消费者蟹类捕食小型底栖动物，从而将能量从低营养级传递至更高层级。大型底栖生物在生态系统的物质循环、能量传递、环境改善及生物多样性维护等方面发挥着核心作用。然而，传统的基于形态学的</w:t>
      </w:r>
      <w:r>
        <w:rPr>
          <w:rFonts w:hint="eastAsia" w:eastAsia="仿宋" w:cs="Times New Roman"/>
          <w:sz w:val="24"/>
          <w:szCs w:val="24"/>
          <w:lang w:val="en-US" w:eastAsia="zh-CN" w:bidi="ar"/>
        </w:rPr>
        <w:t>大型底栖</w:t>
      </w:r>
      <w:r>
        <w:rPr>
          <w:rFonts w:ascii="Times New Roman" w:hAnsi="Times New Roman" w:eastAsia="仿宋" w:cs="Times New Roman"/>
          <w:sz w:val="24"/>
          <w:szCs w:val="24"/>
          <w:lang w:bidi="ar"/>
        </w:rPr>
        <w:t>生物多样性监测方法存在采样难度大、物种鉴定困难、分析周期长、监测人员专业要求高、抽样误差大等问题。特别是底栖无脊椎动物物种繁多、形态多样，使得鉴定分析过程对</w:t>
      </w:r>
      <w:r>
        <w:rPr>
          <w:rFonts w:hint="eastAsia" w:eastAsia="仿宋" w:cs="Times New Roman"/>
          <w:sz w:val="24"/>
          <w:szCs w:val="24"/>
          <w:lang w:val="en-US" w:eastAsia="zh-CN" w:bidi="ar"/>
        </w:rPr>
        <w:t>工作</w:t>
      </w:r>
      <w:r>
        <w:rPr>
          <w:rFonts w:ascii="Times New Roman" w:hAnsi="Times New Roman" w:eastAsia="仿宋" w:cs="Times New Roman"/>
          <w:sz w:val="24"/>
          <w:szCs w:val="24"/>
          <w:lang w:bidi="ar"/>
        </w:rPr>
        <w:t>人员的分类</w:t>
      </w:r>
      <w:r>
        <w:rPr>
          <w:rFonts w:hint="eastAsia" w:eastAsia="仿宋" w:cs="Times New Roman"/>
          <w:sz w:val="24"/>
          <w:szCs w:val="24"/>
          <w:lang w:val="en-US" w:eastAsia="zh-CN" w:bidi="ar"/>
        </w:rPr>
        <w:t>学专业</w:t>
      </w:r>
      <w:r>
        <w:rPr>
          <w:rFonts w:ascii="Times New Roman" w:hAnsi="Times New Roman" w:eastAsia="仿宋" w:cs="Times New Roman"/>
          <w:sz w:val="24"/>
          <w:szCs w:val="24"/>
          <w:lang w:bidi="ar"/>
        </w:rPr>
        <w:t>基础及经验要求较高。同时，由于部分分类群的分类检索系统尚不完善，也给物种分类鉴定工作带来了一定的困难。相比之下，环境DNA监测方法仅需采集水样、沉积物、生物膜或生物组织样品，设计通用引物扩增特定基因片段，并通过高通量测序获得DNA条形码序列，通过数据库比对可以精准地鉴别出物种种类和群落结构信息。这种方法相比传统形态学方法，具有经济高效、流程标准化和精确性高等优势。</w:t>
      </w:r>
    </w:p>
    <w:p w14:paraId="24406403">
      <w:pPr>
        <w:keepNext w:val="0"/>
        <w:keepLines w:val="0"/>
        <w:pageBreakBefore w:val="0"/>
        <w:kinsoku/>
        <w:wordWrap/>
        <w:overflowPunct/>
        <w:topLinePunct w:val="0"/>
        <w:autoSpaceDE/>
        <w:autoSpaceDN/>
        <w:bidi w:val="0"/>
        <w:snapToGrid/>
        <w:spacing w:line="480" w:lineRule="exact"/>
        <w:ind w:firstLine="480" w:firstLineChars="200"/>
        <w:textAlignment w:val="auto"/>
        <w:rPr>
          <w:rFonts w:ascii="Times New Roman" w:hAnsi="Times New Roman" w:eastAsia="仿宋" w:cs="Times New Roman"/>
          <w:sz w:val="24"/>
          <w:szCs w:val="24"/>
        </w:rPr>
      </w:pPr>
      <w:r>
        <w:rPr>
          <w:rFonts w:hint="eastAsia" w:ascii="Times New Roman" w:hAnsi="Times New Roman" w:eastAsia="仿宋" w:cs="Times New Roman"/>
          <w:sz w:val="24"/>
          <w:szCs w:val="24"/>
          <w:lang w:bidi="ar"/>
        </w:rPr>
        <w:t>因此，</w:t>
      </w:r>
      <w:r>
        <w:rPr>
          <w:rFonts w:ascii="Times New Roman" w:hAnsi="Times New Roman" w:eastAsia="仿宋" w:cs="Times New Roman"/>
          <w:sz w:val="24"/>
          <w:szCs w:val="24"/>
        </w:rPr>
        <w:t>本标准发布之后能够指导环境监测领域底栖动物应用环境DNA技术开展鉴定工作，使应用该方法的实验室能够规范、统一、可控、可查，并在实际工作中逐步完善江西省重点流域底栖动物DNA条形码数据库。</w:t>
      </w:r>
    </w:p>
    <w:p w14:paraId="7306F765">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outlineLvl w:val="1"/>
        <w:rPr>
          <w:rFonts w:hint="eastAsia" w:ascii="Times New Roman" w:hAnsi="Times New Roman" w:eastAsia="仿宋_GB2312" w:cs="Times New Roman"/>
          <w:b/>
          <w:bCs/>
          <w:color w:val="auto"/>
          <w:lang w:val="en-US" w:eastAsia="zh-CN"/>
        </w:rPr>
      </w:pPr>
      <w:bookmarkStart w:id="6" w:name="_Toc28020"/>
      <w:bookmarkStart w:id="7" w:name="_Toc858"/>
      <w:r>
        <w:rPr>
          <w:rFonts w:hint="eastAsia" w:ascii="Times New Roman" w:hAnsi="Times New Roman" w:eastAsia="仿宋_GB2312" w:cs="Times New Roman"/>
          <w:b/>
          <w:bCs/>
          <w:color w:val="auto"/>
          <w:lang w:val="en-US" w:eastAsia="zh-CN"/>
        </w:rPr>
        <w:t>2.2 必要性分析</w:t>
      </w:r>
      <w:bookmarkEnd w:id="6"/>
      <w:bookmarkEnd w:id="7"/>
    </w:p>
    <w:p w14:paraId="6893FB98">
      <w:pPr>
        <w:keepNext w:val="0"/>
        <w:keepLines w:val="0"/>
        <w:pageBreakBefore w:val="0"/>
        <w:kinsoku/>
        <w:wordWrap/>
        <w:overflowPunct/>
        <w:topLinePunct w:val="0"/>
        <w:autoSpaceDE/>
        <w:autoSpaceDN/>
        <w:bidi w:val="0"/>
        <w:snapToGrid/>
        <w:spacing w:line="480" w:lineRule="exact"/>
        <w:ind w:firstLine="480" w:firstLineChars="200"/>
        <w:textAlignment w:val="auto"/>
        <w:rPr>
          <w:rFonts w:ascii="Times New Roman" w:hAnsi="Times New Roman" w:eastAsia="仿宋" w:cs="Times New Roman"/>
          <w:sz w:val="24"/>
          <w:szCs w:val="24"/>
        </w:rPr>
      </w:pPr>
      <w:r>
        <w:rPr>
          <w:rFonts w:ascii="Times New Roman" w:hAnsi="Times New Roman" w:eastAsia="仿宋" w:cs="Times New Roman"/>
          <w:sz w:val="24"/>
          <w:szCs w:val="24"/>
        </w:rPr>
        <w:t>目前全球物种总量至少有上千万种，物种的命名分类鉴定工作量非常艰巨。随着</w:t>
      </w:r>
      <w:r>
        <w:rPr>
          <w:rFonts w:hint="eastAsia" w:eastAsia="仿宋" w:cs="Times New Roman"/>
          <w:sz w:val="24"/>
          <w:szCs w:val="24"/>
          <w:lang w:eastAsia="zh-CN"/>
        </w:rPr>
        <w:t>20世纪</w:t>
      </w:r>
      <w:r>
        <w:rPr>
          <w:rFonts w:ascii="Times New Roman" w:hAnsi="Times New Roman" w:eastAsia="仿宋" w:cs="Times New Roman"/>
          <w:sz w:val="24"/>
          <w:szCs w:val="24"/>
        </w:rPr>
        <w:t>90年代开始的测序技术的日趋成熟，分子鉴定技术被广泛推广和使用，2003年，加拿大科学家Hebert研究通过COI序列，即DNA条形码技术，可以对物种进行鉴别。DNA条形码技术广泛应用在动物、植物和生物鉴别上。DNA条形码技术自应用以来，在鸟类、鱼类、两栖类、浮游和海洋小型底栖动物等动物物种鉴定方面取得了良好效果。因其具备灵敏度高、经济高效、省时省力、对生态系统干扰低等优点被逐渐应用到水生生物鉴定和多样性评估方面，基于DNA识别技术监测水生生物的标准体系也逐渐构建，如北京市《鱼类贝类环境DNA识别技术规范》，辽宁省《水质DNA条形码鉴定-底栖动物》和团体标准《水生生物DNA条形码构建规程》等，这些标准的制定对构建基于环境DNA识别技术的水生生物监测技术体系提供了参考依据。</w:t>
      </w:r>
    </w:p>
    <w:p w14:paraId="704A589D">
      <w:pPr>
        <w:keepNext w:val="0"/>
        <w:keepLines w:val="0"/>
        <w:pageBreakBefore w:val="0"/>
        <w:kinsoku/>
        <w:wordWrap/>
        <w:overflowPunct/>
        <w:topLinePunct w:val="0"/>
        <w:autoSpaceDE/>
        <w:autoSpaceDN/>
        <w:bidi w:val="0"/>
        <w:snapToGrid/>
        <w:spacing w:line="480" w:lineRule="exact"/>
        <w:ind w:firstLine="480" w:firstLineChars="200"/>
        <w:textAlignment w:val="auto"/>
        <w:rPr>
          <w:rFonts w:ascii="Times New Roman" w:hAnsi="Times New Roman" w:eastAsia="仿宋" w:cs="Times New Roman"/>
          <w:sz w:val="24"/>
          <w:szCs w:val="24"/>
        </w:rPr>
      </w:pPr>
      <w:r>
        <w:rPr>
          <w:rFonts w:ascii="Times New Roman" w:hAnsi="Times New Roman" w:eastAsia="仿宋" w:cs="Times New Roman"/>
          <w:sz w:val="24"/>
          <w:szCs w:val="24"/>
        </w:rPr>
        <w:t>2019年9月18日，习近平总书记在黄河流域生态保护和高质量发展座谈会上提出要促进河流生态系统健康，提高生物多样性。与此同时，长江大保护战略的提出，更是要求落实长江“十年禁渔”，改善水生生物多样性。黄河和长江流域生态环境质量受到中央如此重视也是前所未有、力度空前，显示出了中央治理黄河和长江生态环境质量的决心和态度。标志着以整治污染、提高流域水生生物多样性为目标的保护措施将会持续推行，并将</w:t>
      </w:r>
      <w:r>
        <w:rPr>
          <w:rFonts w:hint="eastAsia" w:ascii="Times New Roman" w:hAnsi="Times New Roman" w:eastAsia="仿宋" w:cs="Times New Roman"/>
          <w:sz w:val="24"/>
          <w:szCs w:val="24"/>
          <w:lang w:val="en-US" w:eastAsia="zh-CN"/>
        </w:rPr>
        <w:t>以水生生物多样性的增加作为衡量治理成效的重要指标之一</w:t>
      </w:r>
      <w:r>
        <w:rPr>
          <w:rFonts w:ascii="Times New Roman" w:hAnsi="Times New Roman" w:eastAsia="仿宋" w:cs="Times New Roman"/>
          <w:sz w:val="24"/>
          <w:szCs w:val="24"/>
        </w:rPr>
        <w:t>。2022年，国家启动对长江流域17个省（自治区、直辖市）开展水生态考核试点工作，明确2025年开展第一次考核。我省长江干流（江西段）、赣江、鄱阳湖等3个水体共计26个点位纳入国家考核，并完成了2022年水生态综合评价工作。</w:t>
      </w:r>
      <w:r>
        <w:rPr>
          <w:rFonts w:hint="eastAsia" w:eastAsia="仿宋" w:cs="Times New Roman"/>
          <w:sz w:val="24"/>
          <w:szCs w:val="24"/>
          <w:lang w:val="en-US" w:eastAsia="zh-CN"/>
        </w:rPr>
        <w:t>时任</w:t>
      </w:r>
      <w:r>
        <w:rPr>
          <w:rFonts w:ascii="Times New Roman" w:hAnsi="Times New Roman" w:eastAsia="仿宋" w:cs="Times New Roman"/>
          <w:sz w:val="24"/>
          <w:szCs w:val="24"/>
        </w:rPr>
        <w:t>副省长陈敏做出批示“要加强协同攻关，科学精准治理，第一次考核有更好的成绩”。大型底栖生物作为水生态考核指标的一项关键类群，成为水生态监测评估的新方向。然而，目前</w:t>
      </w:r>
      <w:r>
        <w:rPr>
          <w:rFonts w:hint="eastAsia" w:ascii="Times New Roman" w:hAnsi="Times New Roman" w:eastAsia="仿宋" w:cs="Times New Roman"/>
          <w:sz w:val="24"/>
          <w:szCs w:val="24"/>
          <w:lang w:val="en-US" w:eastAsia="zh-CN"/>
        </w:rPr>
        <w:t>水生态监测方法（尤其是针对大型底栖生物类群的监测方法）对人员的分类学基础和实践经验要求较高，难以满足当前和未来水生态考核的需求。因此，</w:t>
      </w:r>
      <w:bookmarkStart w:id="88" w:name="_GoBack"/>
      <w:r>
        <w:rPr>
          <w:rFonts w:hint="eastAsia" w:ascii="Times New Roman" w:hAnsi="Times New Roman" w:eastAsia="仿宋" w:cs="Times New Roman"/>
          <w:sz w:val="24"/>
          <w:szCs w:val="24"/>
          <w:lang w:val="en-US" w:eastAsia="zh-CN"/>
        </w:rPr>
        <w:t>亟需</w:t>
      </w:r>
      <w:bookmarkEnd w:id="88"/>
      <w:r>
        <w:rPr>
          <w:rFonts w:hint="eastAsia" w:ascii="Times New Roman" w:hAnsi="Times New Roman" w:eastAsia="仿宋" w:cs="Times New Roman"/>
          <w:sz w:val="24"/>
          <w:szCs w:val="24"/>
          <w:lang w:val="en-US" w:eastAsia="zh-CN"/>
        </w:rPr>
        <w:t>引入高效、省时省力的新兴监测技术（如环境DNA技术）作为辅助手段，为水生生物监测和水生态考核提供更加科学、可靠的技术支持</w:t>
      </w:r>
      <w:r>
        <w:rPr>
          <w:rFonts w:ascii="Times New Roman" w:hAnsi="Times New Roman" w:eastAsia="仿宋" w:cs="Times New Roman"/>
          <w:sz w:val="24"/>
          <w:szCs w:val="24"/>
        </w:rPr>
        <w:t>。</w:t>
      </w:r>
    </w:p>
    <w:p w14:paraId="02FEFBF4">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受水文条件、地形地貌、河湖分布、物种类型及栖息地环境等因素的影响，环境DNA技术在数据库构建、采样点布设、样品保存等方面存在区域性差异。因此，制定符合我省省情的大型底栖生物环境DNA技术监测规范，能够满足当前和未来水生态考核的实际需求（特别是大型底栖生物的考核指标要求），这一标准的制定十分必要。</w:t>
      </w:r>
    </w:p>
    <w:p w14:paraId="0F5E9E17">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jc w:val="both"/>
        <w:textAlignment w:val="auto"/>
        <w:outlineLvl w:val="0"/>
        <w:rPr>
          <w:rFonts w:hint="eastAsia" w:ascii="Times New Roman" w:hAnsi="Times New Roman" w:eastAsia="仿宋_GB2312" w:cs="Times New Roman"/>
          <w:b/>
          <w:bCs/>
          <w:color w:val="auto"/>
          <w:lang w:val="en-US" w:eastAsia="zh-CN"/>
        </w:rPr>
      </w:pPr>
      <w:bookmarkStart w:id="8" w:name="_Toc6752"/>
      <w:bookmarkStart w:id="9" w:name="_Toc22244"/>
      <w:r>
        <w:rPr>
          <w:rFonts w:hint="eastAsia" w:ascii="Times New Roman" w:hAnsi="Times New Roman" w:eastAsia="仿宋_GB2312" w:cs="Times New Roman"/>
          <w:b/>
          <w:bCs/>
          <w:color w:val="auto"/>
          <w:lang w:val="en-US" w:eastAsia="zh-CN"/>
        </w:rPr>
        <w:t>3、标准框架的确定</w:t>
      </w:r>
      <w:bookmarkEnd w:id="8"/>
      <w:bookmarkEnd w:id="9"/>
    </w:p>
    <w:p w14:paraId="6BC6ABCA">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outlineLvl w:val="1"/>
        <w:rPr>
          <w:rFonts w:hint="eastAsia" w:ascii="Times New Roman" w:hAnsi="Times New Roman" w:eastAsia="仿宋_GB2312" w:cs="Times New Roman"/>
          <w:b/>
          <w:bCs/>
          <w:color w:val="auto"/>
          <w:lang w:val="en-US" w:eastAsia="zh-CN"/>
        </w:rPr>
      </w:pPr>
      <w:bookmarkStart w:id="10" w:name="_Toc11317"/>
      <w:bookmarkStart w:id="11" w:name="_Toc6791"/>
      <w:r>
        <w:rPr>
          <w:rFonts w:hint="eastAsia" w:ascii="Times New Roman" w:hAnsi="Times New Roman" w:eastAsia="仿宋_GB2312" w:cs="Times New Roman"/>
          <w:b/>
          <w:bCs/>
          <w:color w:val="auto"/>
          <w:lang w:val="en-US" w:eastAsia="zh-CN"/>
        </w:rPr>
        <w:t>3.1 标准制定的总体思路</w:t>
      </w:r>
      <w:bookmarkEnd w:id="10"/>
      <w:bookmarkEnd w:id="11"/>
    </w:p>
    <w:p w14:paraId="332964AC">
      <w:pPr>
        <w:keepNext w:val="0"/>
        <w:keepLines w:val="0"/>
        <w:pageBreakBefore w:val="0"/>
        <w:widowControl w:val="0"/>
        <w:kinsoku/>
        <w:wordWrap/>
        <w:overflowPunct/>
        <w:topLinePunct w:val="0"/>
        <w:autoSpaceDE/>
        <w:autoSpaceDN/>
        <w:bidi w:val="0"/>
        <w:adjustRightInd w:val="0"/>
        <w:snapToGrid/>
        <w:spacing w:line="480" w:lineRule="exact"/>
        <w:ind w:firstLine="480" w:firstLineChars="200"/>
        <w:jc w:val="both"/>
        <w:textAlignment w:val="auto"/>
        <w:rPr>
          <w:rFonts w:hint="eastAsia" w:eastAsia="仿宋" w:cs="Times New Roman"/>
          <w:sz w:val="24"/>
          <w:szCs w:val="24"/>
          <w:lang w:val="en-US" w:eastAsia="zh-CN" w:bidi="ar-SA"/>
        </w:rPr>
      </w:pPr>
      <w:r>
        <w:rPr>
          <w:rFonts w:ascii="Times New Roman" w:hAnsi="Times New Roman" w:eastAsia="仿宋" w:cs="Times New Roman"/>
          <w:sz w:val="24"/>
          <w:szCs w:val="24"/>
          <w:lang w:bidi="ar-SA"/>
        </w:rPr>
        <w:t>依据现行的法律法规和标准规范，遵循“标本兼治、安全可靠、经济适用”的原则，对江西省</w:t>
      </w:r>
      <w:r>
        <w:rPr>
          <w:rFonts w:hint="eastAsia" w:eastAsia="仿宋" w:cs="Times New Roman"/>
          <w:sz w:val="24"/>
          <w:szCs w:val="24"/>
          <w:lang w:val="en-US" w:eastAsia="zh-CN" w:bidi="ar-SA"/>
        </w:rPr>
        <w:t>河流、</w:t>
      </w:r>
      <w:r>
        <w:rPr>
          <w:rFonts w:ascii="Times New Roman" w:hAnsi="Times New Roman" w:eastAsia="仿宋" w:cs="Times New Roman"/>
          <w:sz w:val="24"/>
          <w:szCs w:val="24"/>
          <w:lang w:bidi="ar-SA"/>
        </w:rPr>
        <w:t>湖库</w:t>
      </w:r>
      <w:r>
        <w:rPr>
          <w:rFonts w:hint="eastAsia" w:eastAsia="仿宋" w:cs="Times New Roman"/>
          <w:sz w:val="24"/>
          <w:szCs w:val="24"/>
          <w:lang w:val="en-US" w:eastAsia="zh-CN" w:bidi="ar-SA"/>
        </w:rPr>
        <w:t>大型底栖无脊椎动物</w:t>
      </w:r>
      <w:r>
        <w:rPr>
          <w:rFonts w:ascii="Times New Roman" w:hAnsi="Times New Roman" w:eastAsia="仿宋" w:cs="Times New Roman"/>
          <w:sz w:val="24"/>
          <w:szCs w:val="24"/>
          <w:lang w:bidi="ar-SA"/>
        </w:rPr>
        <w:t>的</w:t>
      </w:r>
      <w:r>
        <w:rPr>
          <w:rFonts w:hint="eastAsia" w:eastAsia="仿宋" w:cs="Times New Roman"/>
          <w:sz w:val="24"/>
          <w:szCs w:val="24"/>
          <w:lang w:val="en-US" w:eastAsia="zh-CN" w:bidi="ar-SA"/>
        </w:rPr>
        <w:t>监测</w:t>
      </w:r>
      <w:r>
        <w:rPr>
          <w:rFonts w:ascii="Times New Roman" w:hAnsi="Times New Roman" w:eastAsia="仿宋" w:cs="Times New Roman"/>
          <w:sz w:val="24"/>
          <w:szCs w:val="24"/>
          <w:lang w:bidi="ar-SA"/>
        </w:rPr>
        <w:t>技术进行了深入调研。在全面总结过往经验的基础上，结合江西省各地水生态</w:t>
      </w:r>
      <w:r>
        <w:rPr>
          <w:rFonts w:hint="eastAsia" w:eastAsia="仿宋" w:cs="Times New Roman"/>
          <w:sz w:val="24"/>
          <w:szCs w:val="24"/>
          <w:lang w:val="en-US" w:eastAsia="zh-CN" w:bidi="ar-SA"/>
        </w:rPr>
        <w:t>监测</w:t>
      </w:r>
      <w:r>
        <w:rPr>
          <w:rFonts w:ascii="Times New Roman" w:hAnsi="Times New Roman" w:eastAsia="仿宋" w:cs="Times New Roman"/>
          <w:sz w:val="24"/>
          <w:szCs w:val="24"/>
          <w:lang w:bidi="ar-SA"/>
        </w:rPr>
        <w:t>的实施现状和未来需求，通过查阅资料、实地考察、专家咨询等多种方式，合理构建指南的框架结构，并精确界定了</w:t>
      </w:r>
      <w:r>
        <w:rPr>
          <w:rFonts w:hint="eastAsia" w:eastAsia="仿宋" w:cs="Times New Roman"/>
          <w:sz w:val="24"/>
          <w:szCs w:val="24"/>
          <w:lang w:val="en-US" w:eastAsia="zh-CN" w:bidi="ar-SA"/>
        </w:rPr>
        <w:t>监测</w:t>
      </w:r>
      <w:r>
        <w:rPr>
          <w:rFonts w:ascii="Times New Roman" w:hAnsi="Times New Roman" w:eastAsia="仿宋" w:cs="Times New Roman"/>
          <w:sz w:val="24"/>
          <w:szCs w:val="24"/>
          <w:lang w:bidi="ar-SA"/>
        </w:rPr>
        <w:t>技术的适用范围、</w:t>
      </w:r>
      <w:r>
        <w:rPr>
          <w:rFonts w:hint="eastAsia" w:eastAsia="仿宋" w:cs="Times New Roman"/>
          <w:sz w:val="24"/>
          <w:szCs w:val="24"/>
          <w:lang w:val="en-US" w:eastAsia="zh-CN" w:bidi="ar-SA"/>
        </w:rPr>
        <w:t>方法</w:t>
      </w:r>
      <w:r>
        <w:rPr>
          <w:rFonts w:ascii="Times New Roman" w:hAnsi="Times New Roman" w:eastAsia="仿宋" w:cs="Times New Roman"/>
          <w:sz w:val="24"/>
          <w:szCs w:val="24"/>
          <w:lang w:bidi="ar-SA"/>
        </w:rPr>
        <w:t>以及</w:t>
      </w:r>
      <w:r>
        <w:rPr>
          <w:rFonts w:hint="eastAsia" w:eastAsia="仿宋" w:cs="Times New Roman"/>
          <w:sz w:val="24"/>
          <w:szCs w:val="24"/>
          <w:lang w:val="en-US" w:eastAsia="zh-CN" w:bidi="ar-SA"/>
        </w:rPr>
        <w:t>评估体系</w:t>
      </w:r>
      <w:r>
        <w:rPr>
          <w:rFonts w:hint="eastAsia" w:eastAsia="仿宋" w:cs="Times New Roman"/>
          <w:sz w:val="24"/>
          <w:szCs w:val="24"/>
          <w:lang w:eastAsia="zh-CN" w:bidi="ar-SA"/>
        </w:rPr>
        <w:t>，</w:t>
      </w:r>
      <w:r>
        <w:rPr>
          <w:rFonts w:ascii="Times New Roman" w:hAnsi="Times New Roman" w:eastAsia="仿宋" w:cs="Times New Roman"/>
          <w:sz w:val="24"/>
          <w:szCs w:val="24"/>
          <w:lang w:bidi="ar-SA"/>
        </w:rPr>
        <w:t>为我省水生态</w:t>
      </w:r>
      <w:r>
        <w:rPr>
          <w:rFonts w:hint="eastAsia" w:eastAsia="仿宋" w:cs="Times New Roman"/>
          <w:sz w:val="24"/>
          <w:szCs w:val="24"/>
          <w:lang w:val="en-US" w:eastAsia="zh-CN" w:bidi="ar-SA"/>
        </w:rPr>
        <w:t>考核和</w:t>
      </w:r>
      <w:r>
        <w:rPr>
          <w:rFonts w:ascii="Times New Roman" w:hAnsi="Times New Roman" w:eastAsia="仿宋" w:cs="Times New Roman"/>
          <w:sz w:val="24"/>
          <w:szCs w:val="24"/>
          <w:lang w:bidi="ar-SA"/>
        </w:rPr>
        <w:t>修复工作提供坚实的技术支持。</w:t>
      </w:r>
    </w:p>
    <w:p w14:paraId="30ED9868">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outlineLvl w:val="1"/>
        <w:rPr>
          <w:rFonts w:hint="eastAsia" w:ascii="Times New Roman" w:hAnsi="Times New Roman" w:eastAsia="仿宋_GB2312" w:cs="Times New Roman"/>
          <w:b/>
          <w:bCs/>
          <w:color w:val="auto"/>
          <w:lang w:val="en-US" w:eastAsia="zh-CN"/>
        </w:rPr>
      </w:pPr>
      <w:bookmarkStart w:id="12" w:name="_Toc29448"/>
      <w:bookmarkStart w:id="13" w:name="_Toc1309"/>
      <w:r>
        <w:rPr>
          <w:rFonts w:hint="eastAsia" w:ascii="Times New Roman" w:hAnsi="Times New Roman" w:eastAsia="仿宋_GB2312" w:cs="Times New Roman"/>
          <w:b/>
          <w:bCs/>
          <w:color w:val="auto"/>
          <w:lang w:val="en-US" w:eastAsia="zh-CN"/>
        </w:rPr>
        <w:t>3.2 编制依据</w:t>
      </w:r>
      <w:bookmarkEnd w:id="12"/>
      <w:bookmarkEnd w:id="13"/>
    </w:p>
    <w:p w14:paraId="71A8C3FD">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Times New Roman" w:hAnsi="Times New Roman" w:eastAsia="仿宋" w:cs="Times New Roman"/>
          <w:color w:val="auto"/>
          <w:sz w:val="24"/>
          <w:szCs w:val="24"/>
          <w:lang w:val="en-US" w:eastAsia="zh-CN"/>
        </w:rPr>
      </w:pPr>
      <w:r>
        <w:rPr>
          <w:rFonts w:hint="eastAsia" w:ascii="Times New Roman" w:hAnsi="Times New Roman" w:eastAsia="仿宋" w:cs="Times New Roman"/>
          <w:color w:val="auto"/>
          <w:sz w:val="24"/>
          <w:szCs w:val="24"/>
          <w:lang w:val="en-US" w:eastAsia="zh-CN"/>
        </w:rPr>
        <w:t>本标准内容引用了下列文件或其中的条款。凡是注日期的引用文件，仅所注日期的版本适用于本文件。凡是不注日期的引用文件，其最新版本（包括所有的修改单）适用于本文件。</w:t>
      </w:r>
    </w:p>
    <w:p w14:paraId="0DC24A71">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Times New Roman" w:hAnsi="Times New Roman" w:eastAsia="仿宋" w:cs="Times New Roman"/>
          <w:color w:val="auto"/>
          <w:sz w:val="24"/>
          <w:szCs w:val="24"/>
          <w:lang w:val="en-US" w:eastAsia="zh-CN"/>
        </w:rPr>
      </w:pPr>
      <w:r>
        <w:rPr>
          <w:rFonts w:hint="eastAsia" w:ascii="Times New Roman" w:hAnsi="Times New Roman" w:eastAsia="仿宋" w:cs="Times New Roman"/>
          <w:color w:val="auto"/>
          <w:sz w:val="24"/>
          <w:szCs w:val="24"/>
          <w:lang w:val="en-US" w:eastAsia="zh-CN"/>
        </w:rPr>
        <w:t>GB/T 20001.4  标准编写规则  第4部分：试验方法标准</w:t>
      </w:r>
    </w:p>
    <w:p w14:paraId="21BCCD35">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Times New Roman" w:hAnsi="Times New Roman" w:eastAsia="仿宋" w:cs="Times New Roman"/>
          <w:color w:val="auto"/>
          <w:sz w:val="24"/>
          <w:szCs w:val="24"/>
          <w:lang w:val="en-US" w:eastAsia="zh-CN"/>
        </w:rPr>
      </w:pPr>
      <w:r>
        <w:rPr>
          <w:rFonts w:hint="eastAsia" w:ascii="Times New Roman" w:hAnsi="Times New Roman" w:eastAsia="仿宋" w:cs="Times New Roman"/>
          <w:color w:val="auto"/>
          <w:sz w:val="24"/>
          <w:szCs w:val="24"/>
          <w:lang w:val="en-US" w:eastAsia="zh-CN"/>
        </w:rPr>
        <w:t>GB/T 29859  生物信息学术语</w:t>
      </w:r>
    </w:p>
    <w:p w14:paraId="70BC73EC">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Times New Roman" w:hAnsi="Times New Roman" w:eastAsia="仿宋" w:cs="Times New Roman"/>
          <w:color w:val="auto"/>
          <w:sz w:val="24"/>
          <w:szCs w:val="24"/>
          <w:lang w:val="en-US" w:eastAsia="zh-CN"/>
        </w:rPr>
      </w:pPr>
      <w:r>
        <w:rPr>
          <w:rFonts w:hint="eastAsia" w:ascii="Times New Roman" w:hAnsi="Times New Roman" w:eastAsia="仿宋" w:cs="Times New Roman"/>
          <w:color w:val="auto"/>
          <w:sz w:val="24"/>
          <w:szCs w:val="24"/>
          <w:lang w:val="en-US" w:eastAsia="zh-CN"/>
        </w:rPr>
        <w:t>GB/T 30989  高通量基因测序技术规程</w:t>
      </w:r>
    </w:p>
    <w:p w14:paraId="7B186F90">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Times New Roman" w:hAnsi="Times New Roman" w:eastAsia="仿宋" w:cs="Times New Roman"/>
          <w:color w:val="auto"/>
          <w:sz w:val="24"/>
          <w:szCs w:val="24"/>
          <w:lang w:val="en-US" w:eastAsia="zh-CN"/>
        </w:rPr>
      </w:pPr>
      <w:r>
        <w:rPr>
          <w:rFonts w:hint="eastAsia" w:ascii="Times New Roman" w:hAnsi="Times New Roman" w:eastAsia="仿宋" w:cs="Times New Roman"/>
          <w:color w:val="auto"/>
          <w:sz w:val="24"/>
          <w:szCs w:val="24"/>
          <w:lang w:val="en-US" w:eastAsia="zh-CN"/>
        </w:rPr>
        <w:t>GB/T 34265  Sanger法测序技术指南</w:t>
      </w:r>
    </w:p>
    <w:p w14:paraId="0419FB47">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Times New Roman" w:hAnsi="Times New Roman" w:eastAsia="仿宋" w:cs="Times New Roman"/>
          <w:color w:val="auto"/>
          <w:sz w:val="24"/>
          <w:szCs w:val="24"/>
          <w:lang w:val="en-US" w:eastAsia="zh-CN"/>
        </w:rPr>
      </w:pPr>
      <w:r>
        <w:rPr>
          <w:rFonts w:hint="eastAsia" w:ascii="Times New Roman" w:hAnsi="Times New Roman" w:eastAsia="仿宋" w:cs="Times New Roman"/>
          <w:color w:val="auto"/>
          <w:sz w:val="24"/>
          <w:szCs w:val="24"/>
          <w:lang w:val="en-US" w:eastAsia="zh-CN"/>
        </w:rPr>
        <w:t>GB/T 35537  高通量基因测序结果评价要求</w:t>
      </w:r>
    </w:p>
    <w:p w14:paraId="72F9D4D9">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Times New Roman" w:hAnsi="Times New Roman" w:eastAsia="仿宋" w:cs="Times New Roman"/>
          <w:color w:val="auto"/>
          <w:sz w:val="24"/>
          <w:szCs w:val="24"/>
          <w:lang w:val="en-US" w:eastAsia="zh-CN"/>
        </w:rPr>
      </w:pPr>
      <w:r>
        <w:rPr>
          <w:rFonts w:hint="eastAsia" w:ascii="Times New Roman" w:hAnsi="Times New Roman" w:eastAsia="仿宋" w:cs="Times New Roman"/>
          <w:color w:val="auto"/>
          <w:sz w:val="24"/>
          <w:szCs w:val="24"/>
          <w:lang w:val="en-US" w:eastAsia="zh-CN"/>
        </w:rPr>
        <w:t>GB/T 37870  个体鉴定的高通量测序方法</w:t>
      </w:r>
    </w:p>
    <w:p w14:paraId="26A7C21B">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Times New Roman" w:hAnsi="Times New Roman" w:eastAsia="仿宋" w:cs="Times New Roman"/>
          <w:color w:val="auto"/>
          <w:sz w:val="24"/>
          <w:szCs w:val="24"/>
          <w:lang w:val="en-US" w:eastAsia="zh-CN"/>
        </w:rPr>
      </w:pPr>
      <w:r>
        <w:rPr>
          <w:rFonts w:hint="eastAsia" w:ascii="Times New Roman" w:hAnsi="Times New Roman" w:eastAsia="仿宋" w:cs="Times New Roman"/>
          <w:color w:val="auto"/>
          <w:sz w:val="24"/>
          <w:szCs w:val="24"/>
          <w:lang w:val="en-US" w:eastAsia="zh-CN"/>
        </w:rPr>
        <w:t>GB/T 37874  核酸提取纯化方法评价通则</w:t>
      </w:r>
    </w:p>
    <w:p w14:paraId="77C761BF">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Times New Roman" w:hAnsi="Times New Roman" w:eastAsia="仿宋" w:cs="Times New Roman"/>
          <w:color w:val="auto"/>
          <w:sz w:val="24"/>
          <w:szCs w:val="24"/>
          <w:lang w:val="en-US" w:eastAsia="zh-CN"/>
        </w:rPr>
      </w:pPr>
      <w:r>
        <w:rPr>
          <w:rFonts w:hint="eastAsia" w:ascii="Times New Roman" w:hAnsi="Times New Roman" w:eastAsia="仿宋" w:cs="Times New Roman"/>
          <w:color w:val="auto"/>
          <w:sz w:val="24"/>
          <w:szCs w:val="24"/>
          <w:lang w:val="en-US" w:eastAsia="zh-CN"/>
        </w:rPr>
        <w:t>GB/T 40226  环境微生物宏基因组检测　高通量测序法</w:t>
      </w:r>
    </w:p>
    <w:p w14:paraId="5856E2FB">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Times New Roman" w:hAnsi="Times New Roman" w:eastAsia="仿宋" w:cs="Times New Roman"/>
          <w:color w:val="auto"/>
          <w:sz w:val="24"/>
          <w:szCs w:val="24"/>
          <w:lang w:val="en-US" w:eastAsia="zh-CN"/>
        </w:rPr>
      </w:pPr>
      <w:r>
        <w:rPr>
          <w:rFonts w:hint="eastAsia" w:ascii="Times New Roman" w:hAnsi="Times New Roman" w:eastAsia="仿宋" w:cs="Times New Roman"/>
          <w:color w:val="auto"/>
          <w:sz w:val="24"/>
          <w:szCs w:val="24"/>
          <w:lang w:val="en-US" w:eastAsia="zh-CN"/>
        </w:rPr>
        <w:t>HJ 494  水质 采样技术指导</w:t>
      </w:r>
    </w:p>
    <w:p w14:paraId="555EF0F3">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Times New Roman" w:hAnsi="Times New Roman" w:eastAsia="仿宋" w:cs="Times New Roman"/>
          <w:color w:val="auto"/>
          <w:sz w:val="24"/>
          <w:szCs w:val="24"/>
          <w:lang w:val="en-US" w:eastAsia="zh-CN"/>
        </w:rPr>
      </w:pPr>
      <w:r>
        <w:rPr>
          <w:rFonts w:hint="eastAsia" w:ascii="Times New Roman" w:hAnsi="Times New Roman" w:eastAsia="仿宋" w:cs="Times New Roman"/>
          <w:color w:val="auto"/>
          <w:sz w:val="24"/>
          <w:szCs w:val="24"/>
          <w:lang w:val="en-US" w:eastAsia="zh-CN"/>
        </w:rPr>
        <w:t>HJ 710.8  生物多样性观测技术导则淡水底栖大型无脊椎动物</w:t>
      </w:r>
    </w:p>
    <w:p w14:paraId="5F92DD0E">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Times New Roman" w:hAnsi="Times New Roman" w:eastAsia="仿宋" w:cs="Times New Roman"/>
          <w:color w:val="auto"/>
          <w:sz w:val="24"/>
          <w:szCs w:val="24"/>
          <w:lang w:val="en-US" w:eastAsia="zh-CN"/>
        </w:rPr>
      </w:pPr>
      <w:r>
        <w:rPr>
          <w:rFonts w:hint="eastAsia" w:ascii="Times New Roman" w:hAnsi="Times New Roman" w:eastAsia="仿宋" w:cs="Times New Roman"/>
          <w:color w:val="auto"/>
          <w:sz w:val="24"/>
          <w:szCs w:val="24"/>
          <w:lang w:val="en-US" w:eastAsia="zh-CN"/>
        </w:rPr>
        <w:t>HJ 1295  水生态监测技术指南 河流水生生物监测与评价(试行)</w:t>
      </w:r>
    </w:p>
    <w:p w14:paraId="0C0B0606">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Times New Roman" w:hAnsi="Times New Roman" w:eastAsia="仿宋" w:cs="Times New Roman"/>
          <w:color w:val="auto"/>
          <w:sz w:val="24"/>
          <w:szCs w:val="24"/>
          <w:lang w:val="en-US" w:eastAsia="zh-CN"/>
        </w:rPr>
      </w:pPr>
      <w:r>
        <w:rPr>
          <w:rFonts w:hint="eastAsia" w:ascii="Times New Roman" w:hAnsi="Times New Roman" w:eastAsia="仿宋" w:cs="Times New Roman"/>
          <w:color w:val="auto"/>
          <w:sz w:val="24"/>
          <w:szCs w:val="24"/>
          <w:lang w:val="en-US" w:eastAsia="zh-CN"/>
        </w:rPr>
        <w:t>HJ 1296  水生态监测技术指南湖泊和水库水生生物监测与评价(试行)</w:t>
      </w:r>
    </w:p>
    <w:p w14:paraId="19DC4911">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outlineLvl w:val="1"/>
        <w:rPr>
          <w:rFonts w:hint="eastAsia" w:ascii="Times New Roman" w:hAnsi="Times New Roman" w:eastAsia="仿宋_GB2312" w:cs="Times New Roman"/>
          <w:b/>
          <w:bCs/>
          <w:color w:val="auto"/>
          <w:lang w:val="en-US" w:eastAsia="zh-CN"/>
        </w:rPr>
      </w:pPr>
      <w:bookmarkStart w:id="14" w:name="_Toc9398"/>
      <w:bookmarkStart w:id="15" w:name="_Toc1694"/>
      <w:r>
        <w:rPr>
          <w:rFonts w:hint="eastAsia" w:ascii="Times New Roman" w:hAnsi="Times New Roman" w:eastAsia="仿宋_GB2312" w:cs="Times New Roman"/>
          <w:b/>
          <w:bCs/>
          <w:color w:val="auto"/>
          <w:lang w:val="en-US" w:eastAsia="zh-CN"/>
        </w:rPr>
        <w:t>3.3 编制原则</w:t>
      </w:r>
      <w:bookmarkEnd w:id="14"/>
      <w:bookmarkEnd w:id="15"/>
    </w:p>
    <w:p w14:paraId="7D3699EC">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right="0" w:firstLine="480" w:firstLineChars="200"/>
        <w:jc w:val="both"/>
        <w:textAlignment w:val="auto"/>
        <w:rPr>
          <w:rFonts w:hint="eastAsia" w:ascii="Times New Roman" w:hAnsi="Times New Roman" w:eastAsia="仿宋" w:cs="Times New Roman"/>
          <w:sz w:val="24"/>
          <w:szCs w:val="24"/>
          <w:lang w:val="en-US" w:eastAsia="en-US" w:bidi="ar-SA"/>
        </w:rPr>
      </w:pPr>
      <w:r>
        <w:rPr>
          <w:rFonts w:ascii="Times New Roman" w:hAnsi="Times New Roman" w:eastAsia="仿宋" w:cs="Times New Roman"/>
          <w:kern w:val="0"/>
          <w:sz w:val="24"/>
          <w:szCs w:val="24"/>
          <w:lang w:bidi="ar-SA"/>
        </w:rPr>
        <w:t>本标准的制定将严格遵循《江西省标准化条例》（江西省第十三届人民代表大会常务委员会公告 第64号）、《江西省地方标准管理办法》（赣府发〔2023〕10号）以及《江西省生态环境厅标准制修订工作规则（试行）》（赣环法规〔2022〕18号）等规定。在全面梳理、总结并吸收国内外相关标准、规范方法和文献研究的成果基础上，充分考虑省内生态环境管理的实际需求，结合监测机构的技术能力</w:t>
      </w:r>
      <w:r>
        <w:rPr>
          <w:rFonts w:hint="eastAsia" w:eastAsia="仿宋" w:cs="Times New Roman"/>
          <w:kern w:val="0"/>
          <w:sz w:val="24"/>
          <w:szCs w:val="24"/>
          <w:lang w:val="en-US" w:eastAsia="zh-CN" w:bidi="ar-SA"/>
        </w:rPr>
        <w:t>和</w:t>
      </w:r>
      <w:r>
        <w:rPr>
          <w:rFonts w:ascii="Times New Roman" w:hAnsi="Times New Roman" w:eastAsia="仿宋" w:cs="Times New Roman"/>
          <w:kern w:val="0"/>
          <w:sz w:val="24"/>
          <w:szCs w:val="24"/>
          <w:lang w:bidi="ar-SA"/>
        </w:rPr>
        <w:t>人员状况等因素，依据《标准化工作导则 第1部分：标准</w:t>
      </w:r>
      <w:r>
        <w:rPr>
          <w:rFonts w:hint="eastAsia" w:eastAsia="仿宋" w:cs="Times New Roman"/>
          <w:kern w:val="0"/>
          <w:sz w:val="24"/>
          <w:szCs w:val="24"/>
          <w:lang w:val="en-US" w:eastAsia="zh-CN" w:bidi="ar-SA"/>
        </w:rPr>
        <w:t>化文件</w:t>
      </w:r>
      <w:r>
        <w:rPr>
          <w:rFonts w:ascii="Times New Roman" w:hAnsi="Times New Roman" w:eastAsia="仿宋" w:cs="Times New Roman"/>
          <w:kern w:val="0"/>
          <w:sz w:val="24"/>
          <w:szCs w:val="24"/>
          <w:lang w:bidi="ar-SA"/>
        </w:rPr>
        <w:t>的结构和</w:t>
      </w:r>
      <w:r>
        <w:rPr>
          <w:rFonts w:hint="eastAsia" w:eastAsia="仿宋" w:cs="Times New Roman"/>
          <w:kern w:val="0"/>
          <w:sz w:val="24"/>
          <w:szCs w:val="24"/>
          <w:lang w:val="en-US" w:eastAsia="zh-CN" w:bidi="ar-SA"/>
        </w:rPr>
        <w:t>起草规则</w:t>
      </w:r>
      <w:r>
        <w:rPr>
          <w:rFonts w:ascii="Times New Roman" w:hAnsi="Times New Roman" w:eastAsia="仿宋" w:cs="Times New Roman"/>
          <w:kern w:val="0"/>
          <w:sz w:val="24"/>
          <w:szCs w:val="24"/>
          <w:lang w:bidi="ar-SA"/>
        </w:rPr>
        <w:t>》（GB/T 1.1</w:t>
      </w:r>
      <w:r>
        <w:rPr>
          <w:rFonts w:hint="eastAsia" w:eastAsia="仿宋" w:cs="Times New Roman"/>
          <w:kern w:val="0"/>
          <w:sz w:val="24"/>
          <w:szCs w:val="24"/>
          <w:lang w:val="en-US" w:eastAsia="zh-CN" w:bidi="ar-SA"/>
        </w:rPr>
        <w:t>-</w:t>
      </w:r>
      <w:r>
        <w:rPr>
          <w:rFonts w:ascii="Times New Roman" w:hAnsi="Times New Roman" w:eastAsia="仿宋" w:cs="Times New Roman"/>
          <w:kern w:val="0"/>
          <w:sz w:val="24"/>
          <w:szCs w:val="24"/>
          <w:lang w:bidi="ar-SA"/>
        </w:rPr>
        <w:t>2020）</w:t>
      </w:r>
      <w:r>
        <w:rPr>
          <w:rFonts w:hint="eastAsia" w:eastAsia="仿宋" w:cs="Times New Roman"/>
          <w:kern w:val="0"/>
          <w:sz w:val="24"/>
          <w:szCs w:val="24"/>
          <w:lang w:eastAsia="zh-CN" w:bidi="ar-SA"/>
        </w:rPr>
        <w:t>、</w:t>
      </w:r>
      <w:r>
        <w:rPr>
          <w:rFonts w:hint="default" w:eastAsia="仿宋" w:cs="Times New Roman"/>
          <w:kern w:val="0"/>
          <w:sz w:val="24"/>
          <w:szCs w:val="24"/>
          <w:lang w:val="en-US" w:eastAsia="zh-CN" w:bidi="ar-SA"/>
        </w:rPr>
        <w:t>《</w:t>
      </w:r>
      <w:r>
        <w:rPr>
          <w:rFonts w:ascii="Times New Roman" w:hAnsi="Times New Roman" w:eastAsia="仿宋" w:cs="Times New Roman"/>
          <w:i w:val="0"/>
          <w:iCs w:val="0"/>
          <w:caps w:val="0"/>
          <w:color w:val="auto"/>
          <w:spacing w:val="0"/>
          <w:sz w:val="24"/>
          <w:szCs w:val="24"/>
          <w:shd w:val="clear" w:fill="auto"/>
          <w:lang w:bidi="ar-SA"/>
        </w:rPr>
        <w:t>环境保护标准编制出版技术指南</w:t>
      </w:r>
      <w:r>
        <w:rPr>
          <w:rFonts w:hint="default" w:eastAsia="仿宋" w:cs="Times New Roman"/>
          <w:kern w:val="0"/>
          <w:sz w:val="24"/>
          <w:szCs w:val="24"/>
          <w:lang w:val="en-US" w:eastAsia="zh-CN" w:bidi="ar-SA"/>
        </w:rPr>
        <w:t>》（</w:t>
      </w:r>
      <w:r>
        <w:rPr>
          <w:rFonts w:ascii="Times New Roman" w:eastAsia="仿宋"/>
          <w:szCs w:val="24"/>
          <w:lang w:bidi="ar-SA"/>
        </w:rPr>
        <w:t>HJ 565-201</w:t>
      </w:r>
      <w:r>
        <w:rPr>
          <w:rFonts w:ascii="Times New Roman"/>
        </w:rPr>
        <w:t>0</w:t>
      </w:r>
      <w:r>
        <w:rPr>
          <w:rFonts w:hint="eastAsia" w:eastAsia="仿宋" w:cs="Times New Roman"/>
          <w:kern w:val="0"/>
          <w:sz w:val="24"/>
          <w:szCs w:val="24"/>
          <w:lang w:val="en-US" w:eastAsia="zh-CN" w:bidi="ar-SA"/>
        </w:rPr>
        <w:t>）、</w:t>
      </w:r>
      <w:r>
        <w:rPr>
          <w:rFonts w:ascii="Times New Roman" w:hAnsi="Times New Roman" w:eastAsia="仿宋" w:cs="Times New Roman"/>
          <w:kern w:val="0"/>
          <w:sz w:val="24"/>
          <w:szCs w:val="24"/>
          <w:lang w:bidi="ar-SA"/>
        </w:rPr>
        <w:t>《环境监测分析方法标准制修订技术导则》（HJ 168</w:t>
      </w:r>
      <w:r>
        <w:rPr>
          <w:rFonts w:hint="eastAsia" w:eastAsia="仿宋" w:cs="Times New Roman"/>
          <w:kern w:val="0"/>
          <w:sz w:val="24"/>
          <w:szCs w:val="24"/>
          <w:lang w:val="en-US" w:eastAsia="zh-CN" w:bidi="ar-SA"/>
        </w:rPr>
        <w:t>-</w:t>
      </w:r>
      <w:r>
        <w:rPr>
          <w:rFonts w:ascii="Times New Roman" w:hAnsi="Times New Roman" w:eastAsia="仿宋" w:cs="Times New Roman"/>
          <w:kern w:val="0"/>
          <w:sz w:val="24"/>
          <w:szCs w:val="24"/>
          <w:lang w:bidi="ar-SA"/>
        </w:rPr>
        <w:t>2010）的相关技术要求，制定标准文本及其编制说明。旨在确保所制定的标准既科学又规范，同时具备良好的可操作性，以便在全省范围内广泛推广和应用。</w:t>
      </w:r>
      <w:r>
        <w:rPr>
          <w:rFonts w:hint="eastAsia" w:ascii="Times New Roman" w:hAnsi="Times New Roman" w:eastAsia="仿宋" w:cs="Times New Roman"/>
          <w:sz w:val="24"/>
          <w:szCs w:val="24"/>
          <w:lang w:val="en-US" w:eastAsia="en-US" w:bidi="ar-SA"/>
        </w:rPr>
        <w:t xml:space="preserve"> </w:t>
      </w:r>
    </w:p>
    <w:p w14:paraId="1EDCC6EA">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outlineLvl w:val="1"/>
        <w:rPr>
          <w:rFonts w:hint="eastAsia" w:ascii="Times New Roman" w:hAnsi="Times New Roman" w:eastAsia="仿宋_GB2312" w:cs="Times New Roman"/>
          <w:b/>
          <w:bCs/>
          <w:color w:val="auto"/>
          <w:lang w:val="en-US" w:eastAsia="zh-CN"/>
        </w:rPr>
      </w:pPr>
      <w:bookmarkStart w:id="16" w:name="_Toc11724"/>
      <w:bookmarkStart w:id="17" w:name="_Toc30491"/>
      <w:r>
        <w:rPr>
          <w:rFonts w:hint="eastAsia" w:ascii="Times New Roman" w:hAnsi="Times New Roman" w:eastAsia="仿宋_GB2312" w:cs="Times New Roman"/>
          <w:b/>
          <w:bCs/>
          <w:color w:val="auto"/>
          <w:lang w:val="en-US" w:eastAsia="zh-CN"/>
        </w:rPr>
        <w:t>3.4 技术路线</w:t>
      </w:r>
      <w:bookmarkEnd w:id="16"/>
      <w:bookmarkEnd w:id="17"/>
    </w:p>
    <w:p w14:paraId="5CC37DF4">
      <w:pPr>
        <w:keepNext w:val="0"/>
        <w:keepLines w:val="0"/>
        <w:pageBreakBefore w:val="0"/>
        <w:widowControl w:val="0"/>
        <w:numPr>
          <w:ilvl w:val="0"/>
          <w:numId w:val="0"/>
        </w:numPr>
        <w:kinsoku/>
        <w:wordWrap/>
        <w:overflowPunct/>
        <w:topLinePunct w:val="0"/>
        <w:autoSpaceDE/>
        <w:autoSpaceDN/>
        <w:bidi w:val="0"/>
        <w:snapToGrid/>
        <w:spacing w:line="480" w:lineRule="exact"/>
        <w:ind w:leftChars="0" w:firstLine="480" w:firstLineChars="200"/>
        <w:textAlignment w:val="auto"/>
        <w:rPr>
          <w:rFonts w:hint="default" w:ascii="Times New Roman" w:hAnsi="Times New Roman" w:eastAsia="仿宋" w:cs="Times New Roman"/>
          <w:sz w:val="24"/>
          <w:szCs w:val="24"/>
          <w:lang w:val="en-US" w:eastAsia="zh-CN" w:bidi="ar-SA"/>
        </w:rPr>
      </w:pPr>
      <w:r>
        <w:rPr>
          <w:rFonts w:hint="default" w:ascii="Times New Roman" w:hAnsi="Times New Roman" w:eastAsia="仿宋" w:cs="Times New Roman"/>
          <w:sz w:val="24"/>
          <w:szCs w:val="24"/>
          <w:lang w:val="en-US" w:eastAsia="zh-CN" w:bidi="ar-SA"/>
        </w:rPr>
        <w:t>本标准拟从</w:t>
      </w:r>
      <w:r>
        <w:rPr>
          <w:rFonts w:hint="eastAsia" w:eastAsia="仿宋" w:cs="Times New Roman"/>
          <w:sz w:val="24"/>
          <w:szCs w:val="24"/>
          <w:lang w:val="en-US" w:eastAsia="zh-CN" w:bidi="ar-SA"/>
        </w:rPr>
        <w:t>江西</w:t>
      </w:r>
      <w:r>
        <w:rPr>
          <w:rFonts w:hint="default" w:ascii="Times New Roman" w:hAnsi="Times New Roman" w:eastAsia="仿宋" w:cs="Times New Roman"/>
          <w:sz w:val="24"/>
          <w:szCs w:val="24"/>
          <w:lang w:val="en-US" w:eastAsia="zh-CN" w:bidi="ar-SA"/>
        </w:rPr>
        <w:t>省内水系特征的实际出发，以《河流水生态环境质量监测与评价技术指南》、《湖库水生态环境质量监测与评价技术指南》</w:t>
      </w:r>
      <w:r>
        <w:rPr>
          <w:rFonts w:hint="eastAsia" w:eastAsia="仿宋" w:cs="Times New Roman"/>
          <w:sz w:val="24"/>
          <w:szCs w:val="24"/>
          <w:lang w:val="en-US" w:eastAsia="zh-CN" w:bidi="ar-SA"/>
        </w:rPr>
        <w:t>等标准指南</w:t>
      </w:r>
      <w:r>
        <w:rPr>
          <w:rFonts w:hint="default" w:ascii="Times New Roman" w:hAnsi="Times New Roman" w:eastAsia="仿宋" w:cs="Times New Roman"/>
          <w:sz w:val="24"/>
          <w:szCs w:val="24"/>
          <w:lang w:val="en-US" w:eastAsia="zh-CN" w:bidi="ar-SA"/>
        </w:rPr>
        <w:t>为基础，考虑生态环境管理的需求和监测业务的可操作性等因素，系统提升</w:t>
      </w:r>
      <w:r>
        <w:rPr>
          <w:rFonts w:hint="eastAsia" w:eastAsia="仿宋" w:cs="Times New Roman"/>
          <w:sz w:val="24"/>
          <w:szCs w:val="24"/>
          <w:lang w:val="en-US" w:eastAsia="zh-CN" w:bidi="ar-SA"/>
        </w:rPr>
        <w:t>江西</w:t>
      </w:r>
      <w:r>
        <w:rPr>
          <w:rFonts w:hint="default" w:ascii="Times New Roman" w:hAnsi="Times New Roman" w:eastAsia="仿宋" w:cs="Times New Roman"/>
          <w:sz w:val="24"/>
          <w:szCs w:val="24"/>
          <w:lang w:val="en-US" w:eastAsia="zh-CN" w:bidi="ar-SA"/>
        </w:rPr>
        <w:t>省大型底栖</w:t>
      </w:r>
      <w:r>
        <w:rPr>
          <w:rFonts w:hint="eastAsia" w:eastAsia="仿宋" w:cs="Times New Roman"/>
          <w:sz w:val="24"/>
          <w:szCs w:val="24"/>
          <w:lang w:val="en-US" w:eastAsia="zh-CN" w:bidi="ar-SA"/>
        </w:rPr>
        <w:t>生物</w:t>
      </w:r>
      <w:r>
        <w:rPr>
          <w:rFonts w:hint="default" w:ascii="Times New Roman" w:hAnsi="Times New Roman" w:eastAsia="仿宋" w:cs="Times New Roman"/>
          <w:sz w:val="24"/>
          <w:szCs w:val="24"/>
          <w:lang w:val="en-US" w:eastAsia="zh-CN" w:bidi="ar-SA"/>
        </w:rPr>
        <w:t>监测技术的标准化和规范化水平，支撑</w:t>
      </w:r>
      <w:r>
        <w:rPr>
          <w:rFonts w:hint="eastAsia" w:eastAsia="仿宋" w:cs="Times New Roman"/>
          <w:sz w:val="24"/>
          <w:szCs w:val="24"/>
          <w:lang w:val="en-US" w:eastAsia="zh-CN" w:bidi="ar-SA"/>
        </w:rPr>
        <w:t>江西</w:t>
      </w:r>
      <w:r>
        <w:rPr>
          <w:rFonts w:hint="default" w:ascii="Times New Roman" w:hAnsi="Times New Roman" w:eastAsia="仿宋" w:cs="Times New Roman"/>
          <w:sz w:val="24"/>
          <w:szCs w:val="24"/>
          <w:lang w:val="en-US" w:eastAsia="zh-CN" w:bidi="ar-SA"/>
        </w:rPr>
        <w:t>省水生生物的科学监测和依法监测。编制组编制标准方法的技术路线分为：</w:t>
      </w:r>
      <w:r>
        <w:rPr>
          <w:rFonts w:hint="eastAsia" w:eastAsia="仿宋" w:cs="Times New Roman"/>
          <w:sz w:val="24"/>
          <w:szCs w:val="24"/>
          <w:lang w:val="en-US" w:eastAsia="zh-CN" w:bidi="ar-SA"/>
        </w:rPr>
        <w:t>方案制定</w:t>
      </w:r>
      <w:r>
        <w:rPr>
          <w:rFonts w:hint="default" w:ascii="Times New Roman" w:hAnsi="Times New Roman" w:eastAsia="仿宋" w:cs="Times New Roman"/>
          <w:sz w:val="24"/>
          <w:szCs w:val="24"/>
          <w:lang w:val="en-US" w:eastAsia="zh-CN" w:bidi="ar-SA"/>
        </w:rPr>
        <w:t>、实验研究、征求意见、审查和发布等五个阶段（图1）。</w:t>
      </w:r>
    </w:p>
    <w:p w14:paraId="103D402A">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pPr>
      <w:r>
        <w:drawing>
          <wp:inline distT="0" distB="0" distL="114300" distR="114300">
            <wp:extent cx="4930140" cy="4030980"/>
            <wp:effectExtent l="0" t="0" r="762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4930140" cy="4030980"/>
                    </a:xfrm>
                    <a:prstGeom prst="rect">
                      <a:avLst/>
                    </a:prstGeom>
                    <a:noFill/>
                    <a:ln>
                      <a:noFill/>
                    </a:ln>
                  </pic:spPr>
                </pic:pic>
              </a:graphicData>
            </a:graphic>
          </wp:inline>
        </w:drawing>
      </w:r>
    </w:p>
    <w:p w14:paraId="3B0CA195">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right="0" w:rightChars="0" w:firstLine="0" w:firstLineChars="0"/>
        <w:jc w:val="center"/>
        <w:textAlignment w:val="auto"/>
        <w:rPr>
          <w:rFonts w:hint="default" w:ascii="Times New Roman" w:hAnsi="Times New Roman" w:eastAsia="仿宋" w:cs="Times New Roman"/>
          <w:sz w:val="24"/>
          <w:szCs w:val="24"/>
          <w:lang w:val="en-US" w:eastAsia="zh-CN" w:bidi="ar-SA"/>
        </w:rPr>
      </w:pPr>
      <w:r>
        <w:rPr>
          <w:rFonts w:hint="eastAsia" w:ascii="Times New Roman" w:hAnsi="Times New Roman" w:eastAsia="仿宋" w:cs="Times New Roman"/>
          <w:sz w:val="24"/>
          <w:szCs w:val="24"/>
          <w:lang w:val="en-US" w:eastAsia="zh-CN" w:bidi="ar-SA"/>
        </w:rPr>
        <w:t>图1 标准编制技术路线图</w:t>
      </w:r>
    </w:p>
    <w:p w14:paraId="65FB9B62">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jc w:val="both"/>
        <w:textAlignment w:val="auto"/>
        <w:outlineLvl w:val="0"/>
        <w:rPr>
          <w:rFonts w:hint="default" w:ascii="Times New Roman" w:hAnsi="Times New Roman" w:eastAsia="仿宋_GB2312" w:cs="Times New Roman"/>
          <w:b/>
          <w:bCs/>
          <w:color w:val="auto"/>
          <w:lang w:val="en-US" w:eastAsia="zh-CN"/>
        </w:rPr>
      </w:pPr>
      <w:bookmarkStart w:id="18" w:name="_Toc2330"/>
      <w:r>
        <w:rPr>
          <w:rFonts w:hint="eastAsia" w:ascii="Times New Roman" w:hAnsi="Times New Roman" w:eastAsia="仿宋_GB2312" w:cs="Times New Roman"/>
          <w:b/>
          <w:bCs/>
          <w:color w:val="auto"/>
          <w:lang w:val="en-US" w:eastAsia="zh-CN"/>
        </w:rPr>
        <w:t>4、标准编制过程</w:t>
      </w:r>
      <w:bookmarkEnd w:id="18"/>
    </w:p>
    <w:p w14:paraId="5067FDE1">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outlineLvl w:val="1"/>
        <w:rPr>
          <w:rFonts w:hint="eastAsia" w:ascii="Times New Roman" w:hAnsi="Times New Roman" w:eastAsia="仿宋_GB2312" w:cs="Times New Roman"/>
          <w:b/>
          <w:bCs/>
          <w:color w:val="auto"/>
          <w:lang w:val="en-US" w:eastAsia="zh-CN"/>
        </w:rPr>
      </w:pPr>
      <w:bookmarkStart w:id="19" w:name="_Toc14740"/>
      <w:bookmarkStart w:id="20" w:name="_Toc24747"/>
      <w:r>
        <w:rPr>
          <w:rFonts w:hint="eastAsia" w:ascii="Times New Roman" w:hAnsi="Times New Roman" w:eastAsia="仿宋_GB2312" w:cs="Times New Roman"/>
          <w:b/>
          <w:bCs/>
          <w:color w:val="auto"/>
          <w:lang w:val="en-US" w:eastAsia="zh-CN"/>
        </w:rPr>
        <w:t>4.1 成立编制组</w:t>
      </w:r>
      <w:bookmarkEnd w:id="19"/>
      <w:bookmarkEnd w:id="20"/>
      <w:r>
        <w:rPr>
          <w:rFonts w:hint="eastAsia" w:ascii="Times New Roman" w:hAnsi="Times New Roman" w:eastAsia="仿宋_GB2312" w:cs="Times New Roman"/>
          <w:b/>
          <w:bCs/>
          <w:color w:val="auto"/>
          <w:lang w:val="en-US" w:eastAsia="zh-CN"/>
        </w:rPr>
        <w:t xml:space="preserve"> </w:t>
      </w:r>
    </w:p>
    <w:p w14:paraId="03887122">
      <w:pPr>
        <w:keepNext w:val="0"/>
        <w:keepLines w:val="0"/>
        <w:pageBreakBefore w:val="0"/>
        <w:kinsoku/>
        <w:wordWrap/>
        <w:overflowPunct/>
        <w:topLinePunct w:val="0"/>
        <w:autoSpaceDE/>
        <w:autoSpaceDN/>
        <w:bidi w:val="0"/>
        <w:snapToGrid/>
        <w:spacing w:line="480" w:lineRule="exact"/>
        <w:ind w:left="0" w:leftChars="0" w:firstLine="480" w:firstLineChars="200"/>
        <w:textAlignment w:val="auto"/>
        <w:rPr>
          <w:rFonts w:ascii="Times New Roman" w:hAnsi="Times New Roman" w:eastAsia="仿宋" w:cs="Times New Roman"/>
          <w:sz w:val="24"/>
          <w:szCs w:val="24"/>
        </w:rPr>
      </w:pPr>
      <w:r>
        <w:rPr>
          <w:rFonts w:hint="eastAsia" w:ascii="Times New Roman" w:hAnsi="Times New Roman" w:eastAsia="仿宋" w:cs="Times New Roman"/>
          <w:sz w:val="24"/>
          <w:szCs w:val="24"/>
          <w:lang w:val="en-US" w:eastAsia="zh-CN"/>
        </w:rPr>
        <w:t>江西省生态环境科学研究与规划院于2024年6月组织相关科研人员成立了标准编制组。编制组成员由长期从事水生生物监测、环境DNA水生生物监测以及地表水环境质量监测的研究技术人员组成。</w:t>
      </w:r>
    </w:p>
    <w:p w14:paraId="7137562F">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outlineLvl w:val="1"/>
        <w:rPr>
          <w:rFonts w:hint="eastAsia" w:ascii="Times New Roman" w:hAnsi="Times New Roman" w:eastAsia="仿宋_GB2312" w:cs="Times New Roman"/>
          <w:b/>
          <w:bCs/>
          <w:color w:val="auto"/>
          <w:lang w:val="en-US" w:eastAsia="zh-CN"/>
        </w:rPr>
      </w:pPr>
      <w:bookmarkStart w:id="21" w:name="_Toc30198"/>
      <w:bookmarkStart w:id="22" w:name="_Toc7563"/>
      <w:r>
        <w:rPr>
          <w:rFonts w:hint="eastAsia" w:ascii="Times New Roman" w:hAnsi="Times New Roman" w:eastAsia="仿宋_GB2312" w:cs="Times New Roman"/>
          <w:b/>
          <w:bCs/>
          <w:color w:val="auto"/>
          <w:lang w:val="en-US" w:eastAsia="zh-CN"/>
        </w:rPr>
        <w:t>4.2 现有研究基础</w:t>
      </w:r>
      <w:bookmarkEnd w:id="21"/>
      <w:bookmarkEnd w:id="22"/>
      <w:r>
        <w:rPr>
          <w:rFonts w:hint="eastAsia" w:ascii="Times New Roman" w:hAnsi="Times New Roman" w:eastAsia="仿宋_GB2312" w:cs="Times New Roman"/>
          <w:b/>
          <w:bCs/>
          <w:color w:val="auto"/>
          <w:lang w:val="en-US" w:eastAsia="zh-CN"/>
        </w:rPr>
        <w:t xml:space="preserve"> </w:t>
      </w:r>
    </w:p>
    <w:p w14:paraId="16381F69">
      <w:pPr>
        <w:keepNext w:val="0"/>
        <w:keepLines w:val="0"/>
        <w:pageBreakBefore w:val="0"/>
        <w:widowControl w:val="0"/>
        <w:kinsoku/>
        <w:wordWrap/>
        <w:overflowPunct/>
        <w:topLinePunct w:val="0"/>
        <w:autoSpaceDE/>
        <w:autoSpaceDN/>
        <w:bidi w:val="0"/>
        <w:snapToGrid/>
        <w:spacing w:line="480" w:lineRule="exact"/>
        <w:ind w:firstLine="480" w:firstLineChars="200"/>
        <w:jc w:val="both"/>
        <w:textAlignment w:val="auto"/>
        <w:rPr>
          <w:rFonts w:hint="eastAsia" w:eastAsia="仿宋" w:cs="Times New Roman"/>
          <w:sz w:val="24"/>
          <w:szCs w:val="24"/>
          <w:lang w:val="en-US" w:eastAsia="zh-CN"/>
        </w:rPr>
      </w:pPr>
      <w:r>
        <w:rPr>
          <w:rFonts w:ascii="Times New Roman" w:hAnsi="Times New Roman" w:eastAsia="仿宋" w:cs="Times New Roman"/>
          <w:sz w:val="24"/>
          <w:szCs w:val="24"/>
          <w:lang w:bidi="ar-SA"/>
        </w:rPr>
        <w:t>在生物多样性保护和生态监测领域，</w:t>
      </w:r>
      <w:r>
        <w:rPr>
          <w:rFonts w:hint="eastAsia" w:eastAsia="仿宋" w:cs="Times New Roman"/>
          <w:sz w:val="24"/>
          <w:szCs w:val="24"/>
          <w:lang w:val="en-US" w:eastAsia="zh-CN" w:bidi="ar-SA"/>
        </w:rPr>
        <w:t>编制单位和</w:t>
      </w:r>
      <w:r>
        <w:rPr>
          <w:rFonts w:ascii="Times New Roman" w:hAnsi="Times New Roman" w:eastAsia="仿宋" w:cs="Times New Roman"/>
          <w:sz w:val="24"/>
          <w:szCs w:val="24"/>
          <w:lang w:bidi="ar-SA"/>
        </w:rPr>
        <w:t>合作机构中国科学院水生生物研究所长期专注于</w:t>
      </w:r>
      <w:r>
        <w:rPr>
          <w:rFonts w:hint="eastAsia" w:eastAsia="仿宋" w:cs="Times New Roman"/>
          <w:sz w:val="24"/>
          <w:szCs w:val="24"/>
          <w:lang w:val="en-US" w:eastAsia="zh-CN" w:bidi="ar-SA"/>
        </w:rPr>
        <w:t>大型底栖的监测和</w:t>
      </w:r>
      <w:r>
        <w:rPr>
          <w:rFonts w:ascii="Times New Roman" w:hAnsi="Times New Roman" w:eastAsia="仿宋" w:cs="Times New Roman"/>
          <w:sz w:val="24"/>
          <w:szCs w:val="24"/>
          <w:lang w:bidi="ar-SA"/>
        </w:rPr>
        <w:t>DNA鉴定的科研工作，通过不懈的努力，积累了大量的</w:t>
      </w:r>
      <w:r>
        <w:rPr>
          <w:rFonts w:hint="eastAsia" w:eastAsia="仿宋" w:cs="Times New Roman"/>
          <w:sz w:val="24"/>
          <w:szCs w:val="24"/>
          <w:lang w:val="en-US" w:eastAsia="zh-CN" w:bidi="ar-SA"/>
        </w:rPr>
        <w:t>底栖基础数据、监测经验和</w:t>
      </w:r>
      <w:r>
        <w:rPr>
          <w:rFonts w:ascii="Times New Roman" w:hAnsi="Times New Roman" w:eastAsia="仿宋" w:cs="Times New Roman"/>
          <w:sz w:val="24"/>
          <w:szCs w:val="24"/>
          <w:lang w:bidi="ar-SA"/>
        </w:rPr>
        <w:t>DNA监测知识。基于这些宝贵的</w:t>
      </w:r>
      <w:r>
        <w:rPr>
          <w:rFonts w:hint="eastAsia" w:eastAsia="仿宋" w:cs="Times New Roman"/>
          <w:sz w:val="24"/>
          <w:szCs w:val="24"/>
          <w:lang w:val="en-US" w:eastAsia="zh-CN" w:bidi="ar-SA"/>
        </w:rPr>
        <w:t>数据和</w:t>
      </w:r>
      <w:r>
        <w:rPr>
          <w:rFonts w:ascii="Times New Roman" w:hAnsi="Times New Roman" w:eastAsia="仿宋" w:cs="Times New Roman"/>
          <w:sz w:val="24"/>
          <w:szCs w:val="24"/>
          <w:lang w:bidi="ar-SA"/>
        </w:rPr>
        <w:t>知识储备，</w:t>
      </w:r>
      <w:r>
        <w:rPr>
          <w:rFonts w:hint="eastAsia" w:eastAsia="仿宋" w:cs="Times New Roman"/>
          <w:sz w:val="24"/>
          <w:szCs w:val="24"/>
          <w:lang w:val="en-US" w:eastAsia="zh-CN" w:bidi="ar-SA"/>
        </w:rPr>
        <w:t>编制组</w:t>
      </w:r>
      <w:r>
        <w:rPr>
          <w:rFonts w:ascii="Times New Roman" w:hAnsi="Times New Roman" w:eastAsia="仿宋" w:cs="Times New Roman"/>
          <w:sz w:val="24"/>
          <w:szCs w:val="24"/>
          <w:lang w:bidi="ar-SA"/>
        </w:rPr>
        <w:t>确定了基于环境DNA宏条形码技术监测</w:t>
      </w:r>
      <w:r>
        <w:rPr>
          <w:rFonts w:hint="eastAsia" w:eastAsia="仿宋" w:cs="Times New Roman"/>
          <w:sz w:val="24"/>
          <w:szCs w:val="24"/>
          <w:lang w:val="en-US" w:eastAsia="zh-CN" w:bidi="ar-SA"/>
        </w:rPr>
        <w:t>大型底栖</w:t>
      </w:r>
      <w:r>
        <w:rPr>
          <w:rFonts w:ascii="Times New Roman" w:hAnsi="Times New Roman" w:eastAsia="仿宋" w:cs="Times New Roman"/>
          <w:sz w:val="24"/>
          <w:szCs w:val="24"/>
          <w:lang w:bidi="ar-SA"/>
        </w:rPr>
        <w:t>的工作方向</w:t>
      </w:r>
      <w:r>
        <w:rPr>
          <w:rFonts w:hint="eastAsia" w:eastAsia="仿宋" w:cs="Times New Roman"/>
          <w:sz w:val="24"/>
          <w:szCs w:val="24"/>
          <w:lang w:eastAsia="zh-CN" w:bidi="ar-SA"/>
        </w:rPr>
        <w:t>，</w:t>
      </w:r>
      <w:r>
        <w:rPr>
          <w:rFonts w:hint="eastAsia" w:eastAsia="仿宋" w:cs="Times New Roman"/>
          <w:sz w:val="24"/>
          <w:szCs w:val="24"/>
          <w:lang w:val="en-US" w:eastAsia="zh-CN" w:bidi="ar-SA"/>
        </w:rPr>
        <w:t>并</w:t>
      </w:r>
      <w:r>
        <w:rPr>
          <w:rFonts w:ascii="Times New Roman" w:hAnsi="Times New Roman" w:eastAsia="仿宋" w:cs="Times New Roman"/>
          <w:sz w:val="24"/>
          <w:szCs w:val="24"/>
          <w:lang w:bidi="ar-SA"/>
        </w:rPr>
        <w:t>针对这一领域内的相关主题及关键参数进行了深入而广泛的研究，确定了环境DNA监测大型底栖生物的基本框架和流程，为</w:t>
      </w:r>
      <w:r>
        <w:rPr>
          <w:rFonts w:hint="eastAsia" w:eastAsia="仿宋" w:cs="Times New Roman"/>
          <w:sz w:val="24"/>
          <w:szCs w:val="24"/>
          <w:lang w:val="en-US" w:eastAsia="zh-CN" w:bidi="ar-SA"/>
        </w:rPr>
        <w:t>标准的制定</w:t>
      </w:r>
      <w:r>
        <w:rPr>
          <w:rFonts w:ascii="Times New Roman" w:hAnsi="Times New Roman" w:eastAsia="仿宋" w:cs="Times New Roman"/>
          <w:sz w:val="24"/>
          <w:szCs w:val="24"/>
          <w:lang w:bidi="ar-SA"/>
        </w:rPr>
        <w:t>奠定了坚实的基础。</w:t>
      </w:r>
    </w:p>
    <w:p w14:paraId="64657E79">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outlineLvl w:val="1"/>
        <w:rPr>
          <w:rFonts w:hint="eastAsia" w:ascii="Times New Roman" w:hAnsi="Times New Roman" w:eastAsia="仿宋_GB2312" w:cs="Times New Roman"/>
          <w:b/>
          <w:bCs/>
          <w:color w:val="auto"/>
          <w:lang w:val="en-US" w:eastAsia="zh-CN"/>
        </w:rPr>
      </w:pPr>
      <w:bookmarkStart w:id="23" w:name="_Toc6349"/>
      <w:bookmarkStart w:id="24" w:name="_Toc31222"/>
      <w:r>
        <w:rPr>
          <w:rFonts w:hint="eastAsia" w:ascii="Times New Roman" w:hAnsi="Times New Roman" w:eastAsia="仿宋_GB2312" w:cs="Times New Roman"/>
          <w:b/>
          <w:bCs/>
          <w:color w:val="auto"/>
          <w:lang w:val="en-US" w:eastAsia="zh-CN"/>
        </w:rPr>
        <w:t>4.3 理论研究过程</w:t>
      </w:r>
      <w:bookmarkEnd w:id="23"/>
      <w:bookmarkEnd w:id="24"/>
      <w:r>
        <w:rPr>
          <w:rFonts w:hint="eastAsia" w:ascii="Times New Roman" w:hAnsi="Times New Roman" w:eastAsia="仿宋_GB2312" w:cs="Times New Roman"/>
          <w:b/>
          <w:bCs/>
          <w:color w:val="auto"/>
          <w:lang w:val="en-US" w:eastAsia="zh-CN"/>
        </w:rPr>
        <w:t xml:space="preserve"> </w:t>
      </w:r>
    </w:p>
    <w:p w14:paraId="62915258">
      <w:pPr>
        <w:keepNext w:val="0"/>
        <w:keepLines w:val="0"/>
        <w:pageBreakBefore w:val="0"/>
        <w:widowControl w:val="0"/>
        <w:kinsoku/>
        <w:wordWrap/>
        <w:overflowPunct/>
        <w:topLinePunct w:val="0"/>
        <w:autoSpaceDE/>
        <w:autoSpaceDN/>
        <w:bidi w:val="0"/>
        <w:snapToGrid/>
        <w:spacing w:line="480" w:lineRule="exact"/>
        <w:ind w:firstLine="480" w:firstLineChars="200"/>
        <w:jc w:val="both"/>
        <w:textAlignment w:val="auto"/>
        <w:rPr>
          <w:rFonts w:hint="eastAsia" w:eastAsia="仿宋" w:cs="Times New Roman"/>
          <w:sz w:val="24"/>
          <w:szCs w:val="24"/>
          <w:lang w:val="en-US" w:eastAsia="zh-CN"/>
        </w:rPr>
      </w:pPr>
      <w:r>
        <w:rPr>
          <w:rFonts w:ascii="Times New Roman" w:hAnsi="Times New Roman" w:eastAsia="仿宋" w:cs="Times New Roman"/>
          <w:sz w:val="24"/>
          <w:szCs w:val="24"/>
          <w:lang w:bidi="ar-SA"/>
        </w:rPr>
        <w:t>标准编制组通过多种渠道广泛收集并深入学习了《海洋调查规范 第6部分：海洋生物调查》（GB/T 12763.6）、《水质采样方案设计技术规定》（HJ 495）、《生物多样性观测技术导则 淡水底栖大型无脊椎动物》等传统形态学监测标准。同时，还进一步研究了《生物信息学术语》（GB/T 29859）、《高通量基因测序结果评价要求》（GB/T 35537）和《个体鉴定的高通量测序方法》（GB/T 37870）等与高通量测序技术相关的标准。此外，还搜集和分析了大量国内外关于环境DNA监测生物多样性和群落结构的方法和实际案例。通过对这些资料的分析和共性总结，标准编制组初步梳理和提炼了基于环境DNA宏条形码监测</w:t>
      </w:r>
      <w:r>
        <w:rPr>
          <w:rFonts w:hint="eastAsia" w:eastAsia="仿宋" w:cs="Times New Roman"/>
          <w:sz w:val="24"/>
          <w:szCs w:val="24"/>
          <w:lang w:val="en-US" w:eastAsia="zh-CN" w:bidi="ar-SA"/>
        </w:rPr>
        <w:t>大型底栖</w:t>
      </w:r>
      <w:r>
        <w:rPr>
          <w:rFonts w:ascii="Times New Roman" w:hAnsi="Times New Roman" w:eastAsia="仿宋" w:cs="Times New Roman"/>
          <w:sz w:val="24"/>
          <w:szCs w:val="24"/>
          <w:lang w:bidi="ar-SA"/>
        </w:rPr>
        <w:t>的方案，明确了标准制定的方向和思路，从而形成了标准编制的大纲。</w:t>
      </w:r>
    </w:p>
    <w:p w14:paraId="769027F2">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outlineLvl w:val="1"/>
        <w:rPr>
          <w:rFonts w:hint="eastAsia" w:ascii="Times New Roman" w:hAnsi="Times New Roman" w:eastAsia="仿宋_GB2312" w:cs="Times New Roman"/>
          <w:b/>
          <w:bCs/>
          <w:color w:val="auto"/>
          <w:lang w:val="en-US" w:eastAsia="zh-CN"/>
        </w:rPr>
      </w:pPr>
      <w:bookmarkStart w:id="25" w:name="_Toc9237"/>
      <w:bookmarkStart w:id="26" w:name="_Toc27763"/>
      <w:r>
        <w:rPr>
          <w:rFonts w:hint="eastAsia" w:ascii="Times New Roman" w:hAnsi="Times New Roman" w:eastAsia="仿宋_GB2312" w:cs="Times New Roman"/>
          <w:b/>
          <w:bCs/>
          <w:color w:val="auto"/>
          <w:lang w:val="en-US" w:eastAsia="zh-CN"/>
        </w:rPr>
        <w:t>4.4 调</w:t>
      </w:r>
      <w:r>
        <w:rPr>
          <w:rFonts w:hint="eastAsia" w:eastAsia="仿宋_GB2312" w:cs="Times New Roman"/>
          <w:b/>
          <w:bCs/>
          <w:color w:val="auto"/>
          <w:lang w:val="en-US" w:eastAsia="zh-CN"/>
        </w:rPr>
        <w:t>查</w:t>
      </w:r>
      <w:r>
        <w:rPr>
          <w:rFonts w:hint="eastAsia" w:ascii="Times New Roman" w:hAnsi="Times New Roman" w:eastAsia="仿宋_GB2312" w:cs="Times New Roman"/>
          <w:b/>
          <w:bCs/>
          <w:color w:val="auto"/>
          <w:lang w:val="en-US" w:eastAsia="zh-CN"/>
        </w:rPr>
        <w:t>研究</w:t>
      </w:r>
      <w:bookmarkEnd w:id="25"/>
      <w:bookmarkEnd w:id="26"/>
      <w:r>
        <w:rPr>
          <w:rFonts w:hint="eastAsia" w:ascii="Times New Roman" w:hAnsi="Times New Roman" w:eastAsia="仿宋_GB2312" w:cs="Times New Roman"/>
          <w:b/>
          <w:bCs/>
          <w:color w:val="auto"/>
          <w:lang w:val="en-US" w:eastAsia="zh-CN"/>
        </w:rPr>
        <w:t xml:space="preserve"> </w:t>
      </w:r>
    </w:p>
    <w:p w14:paraId="13E7D699">
      <w:pPr>
        <w:keepNext w:val="0"/>
        <w:keepLines w:val="0"/>
        <w:pageBreakBefore w:val="0"/>
        <w:widowControl w:val="0"/>
        <w:kinsoku/>
        <w:wordWrap/>
        <w:overflowPunct/>
        <w:topLinePunct w:val="0"/>
        <w:autoSpaceDE/>
        <w:autoSpaceDN/>
        <w:bidi w:val="0"/>
        <w:snapToGrid/>
        <w:spacing w:line="480" w:lineRule="exact"/>
        <w:ind w:firstLine="480" w:firstLineChars="200"/>
        <w:jc w:val="both"/>
        <w:textAlignment w:val="auto"/>
        <w:rPr>
          <w:rFonts w:hint="eastAsia" w:ascii="Times New Roman" w:hAnsi="Times New Roman" w:eastAsia="仿宋" w:cs="Times New Roman"/>
          <w:sz w:val="24"/>
          <w:szCs w:val="24"/>
          <w:lang w:val="en-US" w:eastAsia="zh-CN" w:bidi="ar-SA"/>
        </w:rPr>
      </w:pPr>
      <w:r>
        <w:rPr>
          <w:rFonts w:ascii="Times New Roman" w:hAnsi="Times New Roman" w:eastAsia="仿宋" w:cs="Times New Roman"/>
          <w:sz w:val="24"/>
          <w:szCs w:val="24"/>
          <w:lang w:bidi="ar-SA"/>
        </w:rPr>
        <w:t>为了确保标准的科学性和可操作性，2024年标准编制组在基于现有的实验研究和资料分析，</w:t>
      </w:r>
      <w:r>
        <w:rPr>
          <w:rFonts w:hint="eastAsia" w:ascii="Times New Roman" w:hAnsi="Times New Roman" w:eastAsia="仿宋" w:cs="Times New Roman"/>
          <w:sz w:val="24"/>
          <w:szCs w:val="24"/>
          <w:lang w:bidi="ar-SA"/>
        </w:rPr>
        <w:t>选取了多个具有代表性的采样点，涵盖了不同的生态系统和环境梯度，以确保监测结果的全面性和准确性。通过对采集的样本进行DNA提取、扩增和测序，获得了大量高质量的环境DNA数据。在实验过程中，编制组还遇到了一些技术挑战，如样本污染、DNA降解等问题。针对这些问题，编制组积极寻求解决方案，不断优化实验流程，提高了数据的可靠性和准确性。同时，通过与相关高校专家的交流和合作，编制组也获得了更多的技术支持和指导，为标准的制定提供了有力的保障。</w:t>
      </w:r>
    </w:p>
    <w:p w14:paraId="1C72484D">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outlineLvl w:val="1"/>
        <w:rPr>
          <w:rFonts w:hint="eastAsia" w:ascii="Times New Roman" w:hAnsi="Times New Roman" w:eastAsia="仿宋_GB2312" w:cs="Times New Roman"/>
          <w:b/>
          <w:bCs/>
          <w:color w:val="auto"/>
          <w:lang w:val="en-US" w:eastAsia="zh-CN"/>
        </w:rPr>
      </w:pPr>
      <w:bookmarkStart w:id="27" w:name="_Toc23470"/>
      <w:bookmarkStart w:id="28" w:name="_Toc4869"/>
      <w:r>
        <w:rPr>
          <w:rFonts w:hint="eastAsia" w:ascii="Times New Roman" w:hAnsi="Times New Roman" w:eastAsia="仿宋_GB2312" w:cs="Times New Roman"/>
          <w:b/>
          <w:bCs/>
          <w:color w:val="auto"/>
          <w:lang w:val="en-US" w:eastAsia="zh-CN"/>
        </w:rPr>
        <w:t>4.5 编写标准草稿和编制说明</w:t>
      </w:r>
      <w:bookmarkEnd w:id="27"/>
      <w:bookmarkEnd w:id="28"/>
      <w:r>
        <w:rPr>
          <w:rFonts w:hint="eastAsia" w:ascii="Times New Roman" w:hAnsi="Times New Roman" w:eastAsia="仿宋_GB2312" w:cs="Times New Roman"/>
          <w:b/>
          <w:bCs/>
          <w:color w:val="auto"/>
          <w:lang w:val="en-US" w:eastAsia="zh-CN"/>
        </w:rPr>
        <w:t xml:space="preserve"> </w:t>
      </w:r>
    </w:p>
    <w:p w14:paraId="5543AAAF">
      <w:pPr>
        <w:keepNext w:val="0"/>
        <w:keepLines w:val="0"/>
        <w:pageBreakBefore w:val="0"/>
        <w:widowControl w:val="0"/>
        <w:kinsoku/>
        <w:wordWrap/>
        <w:overflowPunct/>
        <w:topLinePunct w:val="0"/>
        <w:autoSpaceDE/>
        <w:autoSpaceDN/>
        <w:bidi w:val="0"/>
        <w:snapToGrid/>
        <w:spacing w:line="480" w:lineRule="exact"/>
        <w:ind w:firstLine="480" w:firstLineChars="200"/>
        <w:jc w:val="both"/>
        <w:textAlignment w:val="auto"/>
        <w:rPr>
          <w:rFonts w:hint="default" w:eastAsia="仿宋" w:cs="Times New Roman"/>
          <w:color w:val="auto"/>
          <w:sz w:val="24"/>
          <w:szCs w:val="24"/>
          <w:lang w:val="en-US" w:eastAsia="zh-CN"/>
        </w:rPr>
      </w:pPr>
      <w:r>
        <w:rPr>
          <w:rFonts w:ascii="Times New Roman" w:hAnsi="Times New Roman" w:eastAsia="仿宋" w:cs="Times New Roman"/>
          <w:sz w:val="24"/>
          <w:szCs w:val="24"/>
          <w:lang w:bidi="ar-SA"/>
        </w:rPr>
        <w:t>在2024年1</w:t>
      </w:r>
      <w:r>
        <w:rPr>
          <w:rFonts w:hint="eastAsia" w:eastAsia="仿宋" w:cs="Times New Roman"/>
          <w:sz w:val="24"/>
          <w:szCs w:val="24"/>
          <w:lang w:val="en-US" w:eastAsia="zh-CN" w:bidi="ar-SA"/>
        </w:rPr>
        <w:t>0</w:t>
      </w:r>
      <w:r>
        <w:rPr>
          <w:rFonts w:ascii="Times New Roman" w:hAnsi="Times New Roman" w:eastAsia="仿宋" w:cs="Times New Roman"/>
          <w:sz w:val="24"/>
          <w:szCs w:val="24"/>
          <w:lang w:bidi="ar-SA"/>
        </w:rPr>
        <w:t>月至12月期间，标准编制组组织了起草工作研讨会，集中讨论了标准起草过程中遇到的问题。进一步优化了基于环境DNA</w:t>
      </w:r>
      <w:r>
        <w:rPr>
          <w:rFonts w:hint="eastAsia" w:eastAsia="仿宋" w:cs="Times New Roman"/>
          <w:sz w:val="24"/>
          <w:szCs w:val="24"/>
          <w:lang w:val="en-US" w:eastAsia="zh-CN" w:bidi="ar-SA"/>
        </w:rPr>
        <w:t>监测</w:t>
      </w:r>
      <w:r>
        <w:rPr>
          <w:rFonts w:ascii="Times New Roman" w:hAnsi="Times New Roman" w:eastAsia="仿宋" w:cs="Times New Roman"/>
          <w:sz w:val="24"/>
          <w:szCs w:val="24"/>
          <w:lang w:bidi="ar-SA"/>
        </w:rPr>
        <w:t>技术监测</w:t>
      </w:r>
      <w:r>
        <w:rPr>
          <w:rFonts w:hint="eastAsia" w:eastAsia="仿宋" w:cs="Times New Roman"/>
          <w:sz w:val="24"/>
          <w:szCs w:val="24"/>
          <w:lang w:val="en-US" w:eastAsia="zh-CN" w:bidi="ar-SA"/>
        </w:rPr>
        <w:t>大型底栖</w:t>
      </w:r>
      <w:r>
        <w:rPr>
          <w:rFonts w:ascii="Times New Roman" w:hAnsi="Times New Roman" w:eastAsia="仿宋" w:cs="Times New Roman"/>
          <w:sz w:val="24"/>
          <w:szCs w:val="24"/>
          <w:lang w:bidi="ar-SA"/>
        </w:rPr>
        <w:t>的流程。</w:t>
      </w:r>
      <w:r>
        <w:rPr>
          <w:rFonts w:hint="eastAsia" w:eastAsia="仿宋" w:cs="Times New Roman"/>
          <w:sz w:val="24"/>
          <w:szCs w:val="24"/>
          <w:lang w:val="en-US" w:eastAsia="zh-CN" w:bidi="ar-SA"/>
        </w:rPr>
        <w:t>同时，</w:t>
      </w:r>
      <w:r>
        <w:rPr>
          <w:rFonts w:ascii="Times New Roman" w:hAnsi="Times New Roman" w:eastAsia="仿宋" w:cs="Times New Roman"/>
          <w:sz w:val="24"/>
          <w:szCs w:val="24"/>
          <w:lang w:bidi="ar-SA"/>
        </w:rPr>
        <w:t>经过多次内部研讨会和专家咨询会的深入讨论，最终形成了标准</w:t>
      </w:r>
      <w:r>
        <w:rPr>
          <w:rFonts w:hint="eastAsia" w:eastAsia="仿宋" w:cs="Times New Roman"/>
          <w:sz w:val="24"/>
          <w:szCs w:val="24"/>
          <w:lang w:val="en-US" w:eastAsia="zh-CN" w:bidi="ar-SA"/>
        </w:rPr>
        <w:t>征求意见稿</w:t>
      </w:r>
      <w:r>
        <w:rPr>
          <w:rFonts w:ascii="Times New Roman" w:hAnsi="Times New Roman" w:eastAsia="仿宋" w:cs="Times New Roman"/>
          <w:sz w:val="24"/>
          <w:szCs w:val="24"/>
          <w:lang w:bidi="ar-SA"/>
        </w:rPr>
        <w:t>及其编制说明。202</w:t>
      </w:r>
      <w:r>
        <w:rPr>
          <w:rFonts w:hint="eastAsia" w:ascii="Times New Roman" w:hAnsi="Times New Roman" w:eastAsia="仿宋" w:cs="Times New Roman"/>
          <w:sz w:val="24"/>
          <w:szCs w:val="24"/>
          <w:lang w:val="en-US" w:eastAsia="zh-CN" w:bidi="ar-SA"/>
        </w:rPr>
        <w:t>5</w:t>
      </w:r>
      <w:r>
        <w:rPr>
          <w:rFonts w:ascii="Times New Roman" w:hAnsi="Times New Roman" w:eastAsia="仿宋" w:cs="Times New Roman"/>
          <w:sz w:val="24"/>
          <w:szCs w:val="24"/>
          <w:lang w:bidi="ar-SA"/>
        </w:rPr>
        <w:t>年</w:t>
      </w:r>
      <w:r>
        <w:rPr>
          <w:rFonts w:hint="eastAsia" w:ascii="Times New Roman" w:hAnsi="Times New Roman" w:eastAsia="仿宋" w:cs="Times New Roman"/>
          <w:sz w:val="24"/>
          <w:szCs w:val="24"/>
          <w:lang w:val="en-US" w:eastAsia="zh-CN" w:bidi="ar-SA"/>
        </w:rPr>
        <w:t>1</w:t>
      </w:r>
      <w:r>
        <w:rPr>
          <w:rFonts w:ascii="Times New Roman" w:hAnsi="Times New Roman" w:eastAsia="仿宋" w:cs="Times New Roman"/>
          <w:sz w:val="24"/>
          <w:szCs w:val="24"/>
          <w:lang w:bidi="ar-SA"/>
        </w:rPr>
        <w:t>月至</w:t>
      </w:r>
      <w:r>
        <w:rPr>
          <w:rFonts w:hint="eastAsia" w:ascii="Times New Roman" w:hAnsi="Times New Roman" w:eastAsia="仿宋" w:cs="Times New Roman"/>
          <w:sz w:val="24"/>
          <w:szCs w:val="24"/>
          <w:lang w:val="en-US" w:eastAsia="zh-CN" w:bidi="ar-SA"/>
        </w:rPr>
        <w:t>3</w:t>
      </w:r>
      <w:r>
        <w:rPr>
          <w:rFonts w:ascii="Times New Roman" w:hAnsi="Times New Roman" w:eastAsia="仿宋" w:cs="Times New Roman"/>
          <w:sz w:val="24"/>
          <w:szCs w:val="24"/>
          <w:lang w:bidi="ar-SA"/>
        </w:rPr>
        <w:t>月</w:t>
      </w:r>
      <w:r>
        <w:rPr>
          <w:rFonts w:hint="eastAsia" w:ascii="Times New Roman" w:hAnsi="Times New Roman" w:eastAsia="仿宋" w:cs="Times New Roman"/>
          <w:sz w:val="24"/>
          <w:szCs w:val="24"/>
          <w:lang w:eastAsia="zh-CN" w:bidi="ar-SA"/>
        </w:rPr>
        <w:t>，</w:t>
      </w:r>
      <w:r>
        <w:rPr>
          <w:rFonts w:hint="eastAsia" w:ascii="Times New Roman" w:hAnsi="Times New Roman" w:eastAsia="仿宋" w:cs="Times New Roman"/>
          <w:sz w:val="24"/>
          <w:szCs w:val="24"/>
          <w:lang w:val="en-US" w:eastAsia="zh-CN" w:bidi="ar-SA"/>
        </w:rPr>
        <w:t>编制组向社会公开征求意见，</w:t>
      </w:r>
      <w:r>
        <w:rPr>
          <w:rFonts w:hint="eastAsia" w:ascii="Times New Roman" w:hAnsi="Times New Roman" w:eastAsia="仿宋" w:cs="Times New Roman"/>
          <w:color w:val="auto"/>
          <w:sz w:val="24"/>
          <w:szCs w:val="24"/>
          <w:lang w:val="en-US" w:eastAsia="zh-CN" w:bidi="ar-SA"/>
        </w:rPr>
        <w:t>在征求意见过程中，共收集意见</w:t>
      </w:r>
      <w:r>
        <w:rPr>
          <w:rFonts w:hint="eastAsia" w:eastAsia="仿宋" w:cs="Times New Roman"/>
          <w:color w:val="auto"/>
          <w:sz w:val="24"/>
          <w:szCs w:val="24"/>
          <w:lang w:val="en-US" w:eastAsia="zh-CN" w:bidi="ar-SA"/>
        </w:rPr>
        <w:t>67</w:t>
      </w:r>
      <w:r>
        <w:rPr>
          <w:rFonts w:hint="eastAsia" w:ascii="Times New Roman" w:hAnsi="Times New Roman" w:eastAsia="仿宋" w:cs="Times New Roman"/>
          <w:color w:val="auto"/>
          <w:sz w:val="24"/>
          <w:szCs w:val="24"/>
          <w:lang w:val="en-US" w:eastAsia="zh-CN" w:bidi="ar-SA"/>
        </w:rPr>
        <w:t>条，采纳</w:t>
      </w:r>
      <w:r>
        <w:rPr>
          <w:rFonts w:hint="eastAsia" w:eastAsia="仿宋" w:cs="Times New Roman"/>
          <w:color w:val="auto"/>
          <w:sz w:val="24"/>
          <w:szCs w:val="24"/>
          <w:lang w:val="en-US" w:eastAsia="zh-CN" w:bidi="ar-SA"/>
        </w:rPr>
        <w:t>64</w:t>
      </w:r>
      <w:r>
        <w:rPr>
          <w:rFonts w:hint="eastAsia" w:ascii="Times New Roman" w:hAnsi="Times New Roman" w:eastAsia="仿宋" w:cs="Times New Roman"/>
          <w:color w:val="auto"/>
          <w:sz w:val="24"/>
          <w:szCs w:val="24"/>
          <w:lang w:val="en-US" w:eastAsia="zh-CN" w:bidi="ar-SA"/>
        </w:rPr>
        <w:t>条，部分采纳</w:t>
      </w:r>
      <w:r>
        <w:rPr>
          <w:rFonts w:hint="eastAsia" w:eastAsia="仿宋" w:cs="Times New Roman"/>
          <w:color w:val="auto"/>
          <w:sz w:val="24"/>
          <w:szCs w:val="24"/>
          <w:lang w:val="en-US" w:eastAsia="zh-CN" w:bidi="ar-SA"/>
        </w:rPr>
        <w:t>2</w:t>
      </w:r>
      <w:r>
        <w:rPr>
          <w:rFonts w:hint="eastAsia" w:ascii="Times New Roman" w:hAnsi="Times New Roman" w:eastAsia="仿宋" w:cs="Times New Roman"/>
          <w:color w:val="auto"/>
          <w:sz w:val="24"/>
          <w:szCs w:val="24"/>
          <w:lang w:val="en-US" w:eastAsia="zh-CN" w:bidi="ar-SA"/>
        </w:rPr>
        <w:t>条，不采纳</w:t>
      </w:r>
      <w:r>
        <w:rPr>
          <w:rFonts w:hint="eastAsia" w:eastAsia="仿宋" w:cs="Times New Roman"/>
          <w:color w:val="auto"/>
          <w:sz w:val="24"/>
          <w:szCs w:val="24"/>
          <w:lang w:val="en-US" w:eastAsia="zh-CN" w:bidi="ar-SA"/>
        </w:rPr>
        <w:t>1</w:t>
      </w:r>
      <w:r>
        <w:rPr>
          <w:rFonts w:hint="eastAsia" w:ascii="Times New Roman" w:hAnsi="Times New Roman" w:eastAsia="仿宋" w:cs="Times New Roman"/>
          <w:color w:val="auto"/>
          <w:sz w:val="24"/>
          <w:szCs w:val="24"/>
          <w:lang w:val="en-US" w:eastAsia="zh-CN" w:bidi="ar-SA"/>
        </w:rPr>
        <w:t>条。其中，对部分采纳和不采纳情况已与相关单位沟通，并达成一致意见。</w:t>
      </w:r>
    </w:p>
    <w:p w14:paraId="787EFBCD">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jc w:val="both"/>
        <w:textAlignment w:val="auto"/>
        <w:outlineLvl w:val="0"/>
        <w:rPr>
          <w:rFonts w:hint="eastAsia" w:ascii="Times New Roman" w:hAnsi="Times New Roman" w:eastAsia="仿宋_GB2312" w:cs="Times New Roman"/>
          <w:b/>
          <w:bCs/>
          <w:color w:val="auto"/>
          <w:lang w:val="en-US" w:eastAsia="zh-CN"/>
        </w:rPr>
      </w:pPr>
      <w:bookmarkStart w:id="29" w:name="_Toc24594"/>
      <w:bookmarkStart w:id="30" w:name="_Toc3916"/>
      <w:r>
        <w:rPr>
          <w:rFonts w:hint="eastAsia" w:ascii="Times New Roman" w:hAnsi="Times New Roman" w:eastAsia="仿宋_GB2312" w:cs="Times New Roman"/>
          <w:b/>
          <w:bCs/>
          <w:color w:val="auto"/>
          <w:lang w:val="en-US" w:eastAsia="zh-CN"/>
        </w:rPr>
        <w:t>5、技术规范主要内容的制定依据</w:t>
      </w:r>
      <w:bookmarkEnd w:id="29"/>
      <w:bookmarkEnd w:id="30"/>
    </w:p>
    <w:p w14:paraId="4086E5FC">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outlineLvl w:val="1"/>
        <w:rPr>
          <w:rFonts w:hint="eastAsia" w:ascii="Times New Roman" w:hAnsi="Times New Roman" w:eastAsia="仿宋_GB2312" w:cs="Times New Roman"/>
          <w:b/>
          <w:bCs/>
          <w:color w:val="auto"/>
          <w:lang w:val="en-US" w:eastAsia="zh-CN"/>
        </w:rPr>
      </w:pPr>
      <w:bookmarkStart w:id="31" w:name="_Toc20058647"/>
      <w:bookmarkStart w:id="32" w:name="_Toc72932747"/>
      <w:bookmarkStart w:id="33" w:name="_Toc3296"/>
      <w:bookmarkStart w:id="34" w:name="_Toc10777"/>
      <w:r>
        <w:rPr>
          <w:rFonts w:hint="eastAsia" w:ascii="Times New Roman" w:hAnsi="Times New Roman" w:eastAsia="仿宋_GB2312" w:cs="Times New Roman"/>
          <w:b/>
          <w:bCs/>
          <w:color w:val="auto"/>
          <w:lang w:val="en-US" w:eastAsia="zh-CN"/>
        </w:rPr>
        <w:t>5.1 标准框架</w:t>
      </w:r>
      <w:bookmarkEnd w:id="31"/>
      <w:r>
        <w:rPr>
          <w:rFonts w:hint="eastAsia" w:ascii="Times New Roman" w:hAnsi="Times New Roman" w:eastAsia="仿宋_GB2312" w:cs="Times New Roman"/>
          <w:b/>
          <w:bCs/>
          <w:color w:val="auto"/>
          <w:lang w:val="en-US" w:eastAsia="zh-CN"/>
        </w:rPr>
        <w:t>结构</w:t>
      </w:r>
      <w:bookmarkEnd w:id="32"/>
      <w:bookmarkEnd w:id="33"/>
      <w:bookmarkEnd w:id="34"/>
    </w:p>
    <w:p w14:paraId="1231CE9D">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本标准结构按照《标准化工作导则（GB/T 1.1-2020）》的要求进行编排，本标准规定了</w:t>
      </w:r>
      <w:r>
        <w:rPr>
          <w:rFonts w:hint="default" w:ascii="Times New Roman" w:hAnsi="Times New Roman" w:eastAsia="仿宋" w:cs="Times New Roman"/>
          <w:sz w:val="24"/>
          <w:szCs w:val="24"/>
          <w:lang w:val="en-US" w:eastAsia="zh-CN"/>
        </w:rPr>
        <w:t>利用环境DNA宏条形码技术监测</w:t>
      </w:r>
      <w:r>
        <w:rPr>
          <w:rFonts w:hint="eastAsia" w:eastAsia="仿宋" w:cs="Times New Roman"/>
          <w:sz w:val="24"/>
          <w:szCs w:val="24"/>
          <w:lang w:val="en-US" w:eastAsia="zh-CN"/>
        </w:rPr>
        <w:t>大型</w:t>
      </w:r>
      <w:r>
        <w:rPr>
          <w:rFonts w:hint="default" w:ascii="Times New Roman" w:hAnsi="Times New Roman" w:eastAsia="仿宋" w:cs="Times New Roman"/>
          <w:sz w:val="24"/>
          <w:szCs w:val="24"/>
          <w:lang w:val="en-US" w:eastAsia="zh-CN"/>
        </w:rPr>
        <w:t>底栖</w:t>
      </w:r>
      <w:r>
        <w:rPr>
          <w:rFonts w:hint="eastAsia" w:eastAsia="仿宋" w:cs="Times New Roman"/>
          <w:sz w:val="24"/>
          <w:szCs w:val="24"/>
          <w:lang w:val="en-US" w:eastAsia="zh-CN"/>
        </w:rPr>
        <w:t>生物</w:t>
      </w:r>
      <w:r>
        <w:rPr>
          <w:rFonts w:hint="eastAsia" w:ascii="Times New Roman" w:hAnsi="Times New Roman" w:eastAsia="仿宋" w:cs="Times New Roman"/>
          <w:sz w:val="24"/>
          <w:szCs w:val="24"/>
          <w:lang w:val="en-US" w:eastAsia="zh-CN"/>
        </w:rPr>
        <w:t>等主要内容，主要包括</w:t>
      </w:r>
      <w:r>
        <w:rPr>
          <w:rFonts w:hint="eastAsia" w:eastAsia="仿宋" w:cs="Times New Roman"/>
          <w:sz w:val="24"/>
          <w:szCs w:val="24"/>
          <w:lang w:val="en-US" w:eastAsia="zh-CN"/>
        </w:rPr>
        <w:t>适用</w:t>
      </w:r>
      <w:r>
        <w:rPr>
          <w:rFonts w:hint="eastAsia" w:ascii="Times New Roman" w:hAnsi="Times New Roman" w:eastAsia="仿宋" w:cs="Times New Roman"/>
          <w:sz w:val="24"/>
          <w:szCs w:val="24"/>
          <w:lang w:val="en-US" w:eastAsia="zh-CN"/>
        </w:rPr>
        <w:t>范围、规范性引用文件、术语与定义、</w:t>
      </w:r>
      <w:r>
        <w:rPr>
          <w:rFonts w:hint="eastAsia" w:eastAsia="仿宋" w:cs="Times New Roman"/>
          <w:sz w:val="24"/>
          <w:szCs w:val="24"/>
          <w:lang w:val="en-US" w:eastAsia="zh-CN"/>
        </w:rPr>
        <w:t>试剂和器材</w:t>
      </w:r>
      <w:r>
        <w:rPr>
          <w:rFonts w:hint="eastAsia" w:ascii="Times New Roman" w:hAnsi="Times New Roman" w:eastAsia="仿宋" w:cs="Times New Roman"/>
          <w:sz w:val="24"/>
          <w:szCs w:val="24"/>
          <w:lang w:val="en-US" w:eastAsia="zh-CN"/>
        </w:rPr>
        <w:t>、</w:t>
      </w:r>
      <w:r>
        <w:rPr>
          <w:rFonts w:hint="eastAsia" w:eastAsia="仿宋" w:cs="Times New Roman"/>
          <w:sz w:val="24"/>
          <w:szCs w:val="24"/>
          <w:lang w:val="en-US" w:eastAsia="zh-CN"/>
        </w:rPr>
        <w:t>样品采集、</w:t>
      </w:r>
      <w:bookmarkStart w:id="35" w:name="_Toc133513166"/>
      <w:r>
        <w:rPr>
          <w:rFonts w:hint="eastAsia" w:eastAsia="仿宋" w:cs="Times New Roman"/>
          <w:sz w:val="24"/>
          <w:szCs w:val="24"/>
          <w:lang w:val="en-US" w:eastAsia="zh-CN"/>
        </w:rPr>
        <w:t>PCR扩增与测序</w:t>
      </w:r>
      <w:bookmarkEnd w:id="35"/>
      <w:r>
        <w:rPr>
          <w:rFonts w:hint="eastAsia" w:eastAsia="仿宋" w:cs="Times New Roman"/>
          <w:sz w:val="24"/>
          <w:szCs w:val="24"/>
          <w:lang w:val="en-US" w:eastAsia="zh-CN"/>
        </w:rPr>
        <w:t>、质量控制与评价指标七</w:t>
      </w:r>
      <w:r>
        <w:rPr>
          <w:rFonts w:hint="eastAsia" w:ascii="Times New Roman" w:hAnsi="Times New Roman" w:eastAsia="仿宋" w:cs="Times New Roman"/>
          <w:sz w:val="24"/>
          <w:szCs w:val="24"/>
          <w:lang w:val="en-US" w:eastAsia="zh-CN"/>
        </w:rPr>
        <w:t>个部分。</w:t>
      </w:r>
    </w:p>
    <w:p w14:paraId="31DE31FD">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Times New Roman" w:hAnsi="Times New Roman" w:eastAsia="仿宋" w:cs="Times New Roman"/>
          <w:sz w:val="24"/>
          <w:szCs w:val="24"/>
          <w:lang w:val="en-US" w:eastAsia="zh-CN"/>
        </w:rPr>
      </w:pPr>
      <w:r>
        <w:rPr>
          <w:rFonts w:hint="eastAsia" w:eastAsia="仿宋" w:cs="Times New Roman"/>
          <w:sz w:val="24"/>
          <w:szCs w:val="24"/>
          <w:lang w:val="en-US" w:eastAsia="zh-CN"/>
        </w:rPr>
        <w:t>（1）适用</w:t>
      </w:r>
      <w:r>
        <w:rPr>
          <w:rFonts w:hint="eastAsia" w:ascii="Times New Roman" w:hAnsi="Times New Roman" w:eastAsia="仿宋" w:cs="Times New Roman"/>
          <w:sz w:val="24"/>
          <w:szCs w:val="24"/>
          <w:lang w:val="en-US" w:eastAsia="zh-CN"/>
        </w:rPr>
        <w:t xml:space="preserve">范围：对指南的主体内容与适用范围进行说明。 </w:t>
      </w:r>
    </w:p>
    <w:p w14:paraId="42345534">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Times New Roman" w:hAnsi="Times New Roman" w:eastAsia="仿宋" w:cs="Times New Roman"/>
          <w:sz w:val="24"/>
          <w:szCs w:val="24"/>
          <w:lang w:val="en-US" w:eastAsia="zh-CN"/>
        </w:rPr>
      </w:pPr>
      <w:r>
        <w:rPr>
          <w:rFonts w:hint="eastAsia" w:eastAsia="仿宋" w:cs="Times New Roman"/>
          <w:sz w:val="24"/>
          <w:szCs w:val="24"/>
          <w:lang w:val="en-US" w:eastAsia="zh-CN"/>
        </w:rPr>
        <w:t>（2）</w:t>
      </w:r>
      <w:r>
        <w:rPr>
          <w:rFonts w:hint="eastAsia" w:ascii="Times New Roman" w:hAnsi="Times New Roman" w:eastAsia="仿宋" w:cs="Times New Roman"/>
          <w:sz w:val="24"/>
          <w:szCs w:val="24"/>
          <w:lang w:val="en-US" w:eastAsia="zh-CN"/>
        </w:rPr>
        <w:t xml:space="preserve">规范性引用文件：对指南中引用的标准、规范等进行说明。 </w:t>
      </w:r>
    </w:p>
    <w:p w14:paraId="25D3540D">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Times New Roman" w:hAnsi="Times New Roman" w:eastAsia="仿宋" w:cs="Times New Roman"/>
          <w:sz w:val="24"/>
          <w:szCs w:val="24"/>
          <w:lang w:val="en-US" w:eastAsia="zh-CN"/>
        </w:rPr>
      </w:pPr>
      <w:r>
        <w:rPr>
          <w:rFonts w:hint="eastAsia" w:eastAsia="仿宋" w:cs="Times New Roman"/>
          <w:sz w:val="24"/>
          <w:szCs w:val="24"/>
          <w:lang w:val="en-US" w:eastAsia="zh-CN"/>
        </w:rPr>
        <w:t>（3）</w:t>
      </w:r>
      <w:r>
        <w:rPr>
          <w:rFonts w:hint="eastAsia" w:ascii="Times New Roman" w:hAnsi="Times New Roman" w:eastAsia="仿宋" w:cs="Times New Roman"/>
          <w:sz w:val="24"/>
          <w:szCs w:val="24"/>
          <w:lang w:val="en-US" w:eastAsia="zh-CN"/>
        </w:rPr>
        <w:t>术语与定义：对指南中关键词语的解释。</w:t>
      </w:r>
    </w:p>
    <w:p w14:paraId="0209C089">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Times New Roman" w:hAnsi="Times New Roman" w:eastAsia="仿宋" w:cs="Times New Roman"/>
          <w:sz w:val="24"/>
          <w:szCs w:val="24"/>
          <w:lang w:val="en-US" w:eastAsia="zh-CN"/>
        </w:rPr>
      </w:pPr>
      <w:r>
        <w:rPr>
          <w:rFonts w:hint="eastAsia" w:eastAsia="仿宋" w:cs="Times New Roman"/>
          <w:sz w:val="24"/>
          <w:szCs w:val="24"/>
          <w:lang w:val="en-US" w:eastAsia="zh-CN"/>
        </w:rPr>
        <w:t>（4）试剂和器材</w:t>
      </w:r>
      <w:r>
        <w:rPr>
          <w:rFonts w:hint="eastAsia" w:ascii="Times New Roman" w:hAnsi="Times New Roman" w:eastAsia="仿宋" w:cs="Times New Roman"/>
          <w:sz w:val="24"/>
          <w:szCs w:val="24"/>
          <w:lang w:val="en-US" w:eastAsia="zh-CN"/>
        </w:rPr>
        <w:t>：</w:t>
      </w:r>
      <w:r>
        <w:rPr>
          <w:rFonts w:hint="eastAsia" w:eastAsia="仿宋" w:cs="Times New Roman"/>
          <w:sz w:val="24"/>
          <w:szCs w:val="24"/>
          <w:lang w:val="en-US" w:eastAsia="zh-CN"/>
        </w:rPr>
        <w:t>对样品采集和检测过程中</w:t>
      </w:r>
      <w:r>
        <w:rPr>
          <w:rFonts w:hint="eastAsia" w:ascii="Times New Roman" w:hAnsi="Times New Roman" w:eastAsia="仿宋" w:cs="Times New Roman"/>
          <w:sz w:val="24"/>
          <w:szCs w:val="24"/>
          <w:lang w:val="en-US" w:eastAsia="zh-CN"/>
        </w:rPr>
        <w:t>对</w:t>
      </w:r>
      <w:r>
        <w:rPr>
          <w:rFonts w:hint="eastAsia" w:eastAsia="仿宋" w:cs="Times New Roman"/>
          <w:sz w:val="24"/>
          <w:szCs w:val="24"/>
          <w:lang w:val="en-US" w:eastAsia="zh-CN"/>
        </w:rPr>
        <w:t>需使用的试剂和器材</w:t>
      </w:r>
      <w:r>
        <w:rPr>
          <w:rFonts w:hint="eastAsia" w:ascii="Times New Roman" w:hAnsi="Times New Roman" w:eastAsia="仿宋" w:cs="Times New Roman"/>
          <w:sz w:val="24"/>
          <w:szCs w:val="24"/>
          <w:lang w:val="en-US" w:eastAsia="zh-CN"/>
        </w:rPr>
        <w:t>进行了说明。</w:t>
      </w:r>
    </w:p>
    <w:p w14:paraId="1339D4DD">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Times New Roman" w:hAnsi="Times New Roman" w:eastAsia="仿宋" w:cs="Times New Roman"/>
          <w:sz w:val="24"/>
          <w:szCs w:val="24"/>
          <w:lang w:val="en-US" w:eastAsia="zh-CN"/>
        </w:rPr>
      </w:pPr>
      <w:r>
        <w:rPr>
          <w:rFonts w:hint="eastAsia" w:eastAsia="仿宋" w:cs="Times New Roman"/>
          <w:sz w:val="24"/>
          <w:szCs w:val="24"/>
          <w:lang w:val="en-US" w:eastAsia="zh-CN"/>
        </w:rPr>
        <w:t>（5）样品采集</w:t>
      </w:r>
      <w:r>
        <w:rPr>
          <w:rFonts w:hint="eastAsia" w:ascii="Times New Roman" w:hAnsi="Times New Roman" w:eastAsia="仿宋" w:cs="Times New Roman"/>
          <w:sz w:val="24"/>
          <w:szCs w:val="24"/>
          <w:lang w:val="en-US" w:eastAsia="zh-CN"/>
        </w:rPr>
        <w:t>：对</w:t>
      </w:r>
      <w:r>
        <w:rPr>
          <w:rFonts w:hint="eastAsia" w:eastAsia="仿宋" w:cs="Times New Roman"/>
          <w:sz w:val="24"/>
          <w:szCs w:val="24"/>
          <w:lang w:val="en-US" w:eastAsia="zh-CN"/>
        </w:rPr>
        <w:t>采样点布设、采样频次、样品采集等</w:t>
      </w:r>
      <w:r>
        <w:rPr>
          <w:rFonts w:hint="eastAsia" w:ascii="Times New Roman" w:hAnsi="Times New Roman" w:eastAsia="仿宋" w:cs="Times New Roman"/>
          <w:sz w:val="24"/>
          <w:szCs w:val="24"/>
          <w:lang w:val="en-US" w:eastAsia="zh-CN"/>
        </w:rPr>
        <w:t>进行了说明。</w:t>
      </w:r>
    </w:p>
    <w:p w14:paraId="2CA7E81F">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Times New Roman" w:hAnsi="Times New Roman" w:eastAsia="仿宋" w:cs="Times New Roman"/>
          <w:sz w:val="24"/>
          <w:szCs w:val="24"/>
          <w:lang w:val="en-US" w:eastAsia="zh-CN"/>
        </w:rPr>
      </w:pPr>
      <w:r>
        <w:rPr>
          <w:rFonts w:hint="eastAsia" w:eastAsia="仿宋" w:cs="Times New Roman"/>
          <w:sz w:val="24"/>
          <w:szCs w:val="24"/>
          <w:lang w:val="en-US" w:eastAsia="zh-CN"/>
        </w:rPr>
        <w:t>（6）PCR扩增与测序</w:t>
      </w:r>
      <w:r>
        <w:rPr>
          <w:rFonts w:hint="eastAsia" w:ascii="Times New Roman" w:hAnsi="Times New Roman" w:eastAsia="仿宋" w:cs="Times New Roman"/>
          <w:sz w:val="24"/>
          <w:szCs w:val="24"/>
          <w:lang w:val="en-US" w:eastAsia="zh-CN"/>
        </w:rPr>
        <w:t>：对</w:t>
      </w:r>
      <w:r>
        <w:rPr>
          <w:rFonts w:hint="eastAsia" w:eastAsia="仿宋" w:cs="Times New Roman"/>
          <w:sz w:val="24"/>
          <w:szCs w:val="24"/>
          <w:lang w:val="en-US" w:eastAsia="zh-CN"/>
        </w:rPr>
        <w:t>引物选择、高通量测序等</w:t>
      </w:r>
      <w:r>
        <w:rPr>
          <w:rFonts w:hint="eastAsia" w:ascii="Times New Roman" w:hAnsi="Times New Roman" w:eastAsia="仿宋" w:cs="Times New Roman"/>
          <w:sz w:val="24"/>
          <w:szCs w:val="24"/>
          <w:lang w:val="en-US" w:eastAsia="zh-CN"/>
        </w:rPr>
        <w:t>情况进行了说明。</w:t>
      </w:r>
    </w:p>
    <w:p w14:paraId="4B2C07E8">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Times New Roman" w:hAnsi="Times New Roman" w:eastAsia="仿宋" w:cs="Times New Roman"/>
          <w:sz w:val="24"/>
          <w:szCs w:val="24"/>
          <w:lang w:val="en-US" w:eastAsia="zh-CN"/>
        </w:rPr>
      </w:pPr>
      <w:r>
        <w:rPr>
          <w:rFonts w:hint="eastAsia" w:eastAsia="仿宋" w:cs="Times New Roman"/>
          <w:sz w:val="24"/>
          <w:szCs w:val="24"/>
          <w:lang w:val="en-US" w:eastAsia="zh-CN"/>
        </w:rPr>
        <w:t>（7）质量控制与评价指标</w:t>
      </w:r>
      <w:r>
        <w:rPr>
          <w:rFonts w:hint="eastAsia" w:ascii="Times New Roman" w:hAnsi="Times New Roman" w:eastAsia="仿宋" w:cs="Times New Roman"/>
          <w:sz w:val="24"/>
          <w:szCs w:val="24"/>
          <w:lang w:val="en-US" w:eastAsia="zh-CN"/>
        </w:rPr>
        <w:t>：对</w:t>
      </w:r>
      <w:r>
        <w:rPr>
          <w:rFonts w:hint="eastAsia" w:eastAsia="仿宋" w:cs="Times New Roman"/>
          <w:sz w:val="24"/>
          <w:szCs w:val="24"/>
          <w:lang w:val="en-US" w:eastAsia="zh-CN"/>
        </w:rPr>
        <w:t>监测和检测的质量控制与评价</w:t>
      </w:r>
      <w:r>
        <w:rPr>
          <w:rFonts w:hint="eastAsia" w:ascii="Times New Roman" w:hAnsi="Times New Roman" w:eastAsia="仿宋" w:cs="Times New Roman"/>
          <w:sz w:val="24"/>
          <w:szCs w:val="24"/>
          <w:lang w:val="en-US" w:eastAsia="zh-CN"/>
        </w:rPr>
        <w:t>进行了对比说明。</w:t>
      </w:r>
    </w:p>
    <w:p w14:paraId="550C1A50">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outlineLvl w:val="1"/>
        <w:rPr>
          <w:rFonts w:hint="eastAsia" w:ascii="Times New Roman" w:hAnsi="Times New Roman" w:eastAsia="仿宋_GB2312" w:cs="Times New Roman"/>
          <w:b/>
          <w:bCs/>
          <w:color w:val="auto"/>
          <w:lang w:val="en-US" w:eastAsia="zh-CN"/>
        </w:rPr>
      </w:pPr>
      <w:bookmarkStart w:id="36" w:name="_Toc72932748"/>
      <w:bookmarkStart w:id="37" w:name="_Toc7711"/>
      <w:bookmarkStart w:id="38" w:name="_Toc5082"/>
      <w:r>
        <w:rPr>
          <w:rFonts w:hint="eastAsia" w:ascii="Times New Roman" w:hAnsi="Times New Roman" w:eastAsia="仿宋_GB2312" w:cs="Times New Roman"/>
          <w:b/>
          <w:bCs/>
          <w:color w:val="auto"/>
          <w:lang w:val="en-US" w:eastAsia="zh-CN"/>
        </w:rPr>
        <w:t>5.2 条文说明</w:t>
      </w:r>
      <w:bookmarkEnd w:id="36"/>
      <w:bookmarkEnd w:id="37"/>
      <w:bookmarkEnd w:id="38"/>
    </w:p>
    <w:p w14:paraId="5B0B291D">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textAlignment w:val="auto"/>
        <w:rPr>
          <w:rFonts w:hint="eastAsia" w:eastAsia="仿宋" w:cs="Times New Roman"/>
          <w:b/>
          <w:bCs/>
          <w:color w:val="auto"/>
          <w:sz w:val="24"/>
          <w:szCs w:val="24"/>
          <w:lang w:val="en-US" w:eastAsia="zh-CN"/>
        </w:rPr>
      </w:pPr>
      <w:bookmarkStart w:id="39" w:name="_Toc532895630"/>
      <w:bookmarkStart w:id="40" w:name="_Toc530065545"/>
      <w:bookmarkStart w:id="41" w:name="_Toc523476278"/>
      <w:bookmarkStart w:id="42" w:name="_Toc523383853"/>
      <w:bookmarkStart w:id="43" w:name="_Toc72932749"/>
      <w:bookmarkStart w:id="44" w:name="_Toc527835665"/>
      <w:r>
        <w:rPr>
          <w:rFonts w:hint="eastAsia" w:eastAsia="仿宋" w:cs="Times New Roman"/>
          <w:b/>
          <w:bCs/>
          <w:color w:val="auto"/>
          <w:sz w:val="24"/>
          <w:szCs w:val="24"/>
          <w:lang w:val="en-US" w:eastAsia="zh-CN"/>
        </w:rPr>
        <w:t>5.2.1 范围</w:t>
      </w:r>
      <w:bookmarkEnd w:id="39"/>
      <w:bookmarkEnd w:id="40"/>
      <w:bookmarkEnd w:id="41"/>
      <w:bookmarkEnd w:id="42"/>
      <w:bookmarkEnd w:id="43"/>
      <w:bookmarkEnd w:id="44"/>
    </w:p>
    <w:p w14:paraId="03EE7A2E">
      <w:pPr>
        <w:keepNext w:val="0"/>
        <w:keepLines w:val="0"/>
        <w:pageBreakBefore w:val="0"/>
        <w:kinsoku/>
        <w:wordWrap/>
        <w:overflowPunct/>
        <w:topLinePunct w:val="0"/>
        <w:autoSpaceDE/>
        <w:autoSpaceDN/>
        <w:bidi w:val="0"/>
        <w:adjustRightInd w:val="0"/>
        <w:snapToGrid/>
        <w:spacing w:line="480" w:lineRule="exact"/>
        <w:ind w:firstLine="560"/>
        <w:textAlignment w:val="auto"/>
        <w:rPr>
          <w:color w:val="auto"/>
          <w:sz w:val="28"/>
          <w:szCs w:val="24"/>
          <w:lang w:eastAsia="zh-CN"/>
        </w:rPr>
      </w:pPr>
      <w:r>
        <w:rPr>
          <w:rFonts w:hint="eastAsia" w:ascii="Times New Roman" w:hAnsi="Times New Roman" w:eastAsia="仿宋" w:cs="Times New Roman"/>
          <w:color w:val="auto"/>
          <w:sz w:val="24"/>
          <w:szCs w:val="24"/>
          <w:lang w:val="en-US" w:eastAsia="zh-CN"/>
        </w:rPr>
        <w:t>本文件规定了利用环境DNA宏条形码技术监测</w:t>
      </w:r>
      <w:r>
        <w:rPr>
          <w:rFonts w:hint="eastAsia" w:eastAsia="仿宋" w:cs="Times New Roman"/>
          <w:color w:val="auto"/>
          <w:sz w:val="24"/>
          <w:szCs w:val="24"/>
          <w:lang w:val="en-US" w:eastAsia="zh-CN"/>
        </w:rPr>
        <w:t>大型</w:t>
      </w:r>
      <w:r>
        <w:rPr>
          <w:rFonts w:hint="eastAsia" w:ascii="Times New Roman" w:hAnsi="Times New Roman" w:eastAsia="仿宋" w:cs="Times New Roman"/>
          <w:color w:val="auto"/>
          <w:sz w:val="24"/>
          <w:szCs w:val="24"/>
          <w:lang w:val="en-US" w:eastAsia="zh-CN"/>
        </w:rPr>
        <w:t>底栖</w:t>
      </w:r>
      <w:r>
        <w:rPr>
          <w:rFonts w:hint="eastAsia" w:eastAsia="仿宋" w:cs="Times New Roman"/>
          <w:color w:val="auto"/>
          <w:sz w:val="24"/>
          <w:szCs w:val="24"/>
          <w:lang w:val="en-US" w:eastAsia="zh-CN"/>
        </w:rPr>
        <w:t>动物</w:t>
      </w:r>
      <w:r>
        <w:rPr>
          <w:rFonts w:hint="eastAsia" w:ascii="Times New Roman" w:hAnsi="Times New Roman" w:eastAsia="仿宋" w:cs="Times New Roman"/>
          <w:color w:val="auto"/>
          <w:sz w:val="24"/>
          <w:szCs w:val="24"/>
          <w:lang w:val="en-US" w:eastAsia="zh-CN"/>
        </w:rPr>
        <w:t>的点位布设、监测频次与时间、试剂和材料、仪器和设备、监测内容和方法以及质量控制与评价指标。本文件适用于湖泊、水库、溪流、河流、河口区等水域大型底栖</w:t>
      </w:r>
      <w:r>
        <w:rPr>
          <w:rFonts w:hint="eastAsia" w:eastAsia="仿宋" w:cs="Times New Roman"/>
          <w:color w:val="auto"/>
          <w:sz w:val="24"/>
          <w:szCs w:val="24"/>
          <w:lang w:val="en-US" w:eastAsia="zh-CN"/>
        </w:rPr>
        <w:t>动物</w:t>
      </w:r>
      <w:r>
        <w:rPr>
          <w:rFonts w:hint="eastAsia" w:ascii="Times New Roman" w:hAnsi="Times New Roman" w:eastAsia="仿宋" w:cs="Times New Roman"/>
          <w:color w:val="auto"/>
          <w:sz w:val="24"/>
          <w:szCs w:val="24"/>
          <w:lang w:val="en-US" w:eastAsia="zh-CN"/>
        </w:rPr>
        <w:t>的监测。除执行本标准外，尚应符合国家、地方及行业现行的有关标准、规范的规定。</w:t>
      </w:r>
    </w:p>
    <w:p w14:paraId="2F879E7D">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textAlignment w:val="auto"/>
        <w:rPr>
          <w:rFonts w:hint="eastAsia" w:eastAsia="仿宋" w:cs="Times New Roman"/>
          <w:b/>
          <w:bCs/>
          <w:color w:val="auto"/>
          <w:sz w:val="24"/>
          <w:szCs w:val="24"/>
          <w:lang w:val="en-US" w:eastAsia="zh-CN"/>
        </w:rPr>
      </w:pPr>
      <w:bookmarkStart w:id="45" w:name="_Toc512268753"/>
      <w:bookmarkStart w:id="46" w:name="_Toc512268710"/>
      <w:bookmarkStart w:id="47" w:name="_Toc514764254"/>
      <w:bookmarkStart w:id="48" w:name="_Toc72932750"/>
      <w:bookmarkStart w:id="49" w:name="_Toc512266612"/>
      <w:bookmarkStart w:id="50" w:name="_Toc514764288"/>
      <w:r>
        <w:rPr>
          <w:rFonts w:hint="eastAsia" w:eastAsia="仿宋" w:cs="Times New Roman"/>
          <w:b/>
          <w:bCs/>
          <w:color w:val="auto"/>
          <w:sz w:val="24"/>
          <w:szCs w:val="24"/>
          <w:lang w:val="en-US" w:eastAsia="zh-CN"/>
        </w:rPr>
        <w:t>5.2.2 规范性引用文件</w:t>
      </w:r>
      <w:bookmarkEnd w:id="45"/>
      <w:bookmarkEnd w:id="46"/>
      <w:bookmarkEnd w:id="47"/>
      <w:bookmarkEnd w:id="48"/>
      <w:bookmarkEnd w:id="49"/>
      <w:bookmarkEnd w:id="50"/>
    </w:p>
    <w:p w14:paraId="00D7FBDA">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Times New Roman" w:hAnsi="Times New Roman" w:eastAsia="仿宋" w:cs="Times New Roman"/>
          <w:color w:val="auto"/>
          <w:sz w:val="24"/>
          <w:szCs w:val="24"/>
          <w:lang w:val="en-US" w:eastAsia="zh-CN"/>
        </w:rPr>
      </w:pPr>
      <w:bookmarkStart w:id="51" w:name="_Hlk8566833"/>
      <w:r>
        <w:rPr>
          <w:rFonts w:hint="eastAsia" w:ascii="Times New Roman" w:hAnsi="Times New Roman" w:eastAsia="仿宋" w:cs="Times New Roman"/>
          <w:color w:val="auto"/>
          <w:sz w:val="24"/>
          <w:szCs w:val="24"/>
          <w:lang w:val="en-US" w:eastAsia="zh-CN"/>
        </w:rPr>
        <w:t>本标准所引用的国家有关规范、规程、标准均为现行且有效的，条文中给出编号，以便于使用时查找。</w:t>
      </w:r>
    </w:p>
    <w:p w14:paraId="1AF97B04">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Times New Roman" w:hAnsi="Times New Roman" w:eastAsia="仿宋" w:cs="Times New Roman"/>
          <w:color w:val="auto"/>
          <w:sz w:val="24"/>
          <w:szCs w:val="24"/>
          <w:lang w:val="en-US" w:eastAsia="zh-CN"/>
        </w:rPr>
      </w:pPr>
      <w:r>
        <w:rPr>
          <w:rFonts w:hint="eastAsia" w:ascii="Times New Roman" w:hAnsi="Times New Roman" w:eastAsia="仿宋" w:cs="Times New Roman"/>
          <w:color w:val="auto"/>
          <w:sz w:val="24"/>
          <w:szCs w:val="24"/>
          <w:lang w:val="en-US" w:eastAsia="zh-CN"/>
        </w:rPr>
        <w:t>本标准内容引用了下列文件或其中的条款。凡是注日期的引用文件，仅所注日期的版本适用于本文件。凡是不注日期的引用文件，其最新版本（包括所有的修改单）适用于本文件。</w:t>
      </w:r>
    </w:p>
    <w:bookmarkEnd w:id="51"/>
    <w:p w14:paraId="5C525281">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Times New Roman" w:hAnsi="Times New Roman" w:eastAsia="仿宋" w:cs="Times New Roman"/>
          <w:color w:val="auto"/>
          <w:sz w:val="24"/>
          <w:szCs w:val="24"/>
          <w:lang w:val="en-US" w:eastAsia="zh-CN"/>
        </w:rPr>
      </w:pPr>
      <w:bookmarkStart w:id="52" w:name="_Toc512266613"/>
      <w:bookmarkEnd w:id="52"/>
      <w:bookmarkStart w:id="53" w:name="_Toc283112792"/>
      <w:bookmarkStart w:id="54" w:name="_Toc514764255"/>
      <w:bookmarkStart w:id="55" w:name="_Toc283111629"/>
      <w:bookmarkStart w:id="56" w:name="_Toc512268711"/>
      <w:bookmarkStart w:id="57" w:name="_Toc72932751"/>
      <w:bookmarkStart w:id="58" w:name="_Toc512268754"/>
      <w:bookmarkStart w:id="59" w:name="_Toc323394171"/>
      <w:bookmarkStart w:id="60" w:name="_Toc323394132"/>
      <w:bookmarkStart w:id="61" w:name="_Toc514764289"/>
      <w:r>
        <w:rPr>
          <w:rFonts w:hint="eastAsia" w:ascii="Times New Roman" w:hAnsi="Times New Roman" w:eastAsia="仿宋" w:cs="Times New Roman"/>
          <w:color w:val="auto"/>
          <w:sz w:val="24"/>
          <w:szCs w:val="24"/>
          <w:lang w:val="en-US" w:eastAsia="zh-CN"/>
        </w:rPr>
        <w:t>GB/T 20001.4  标准编写规则  第4部分：试验方法标准</w:t>
      </w:r>
    </w:p>
    <w:p w14:paraId="7D92D81E">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Times New Roman" w:hAnsi="Times New Roman" w:eastAsia="仿宋" w:cs="Times New Roman"/>
          <w:color w:val="auto"/>
          <w:sz w:val="24"/>
          <w:szCs w:val="24"/>
          <w:lang w:val="en-US" w:eastAsia="zh-CN"/>
        </w:rPr>
      </w:pPr>
      <w:r>
        <w:rPr>
          <w:rFonts w:hint="eastAsia" w:ascii="Times New Roman" w:hAnsi="Times New Roman" w:eastAsia="仿宋" w:cs="Times New Roman"/>
          <w:color w:val="auto"/>
          <w:sz w:val="24"/>
          <w:szCs w:val="24"/>
          <w:lang w:val="en-US" w:eastAsia="zh-CN"/>
        </w:rPr>
        <w:t>GB/T 29859  生物信息学术语</w:t>
      </w:r>
    </w:p>
    <w:p w14:paraId="33EAFF09">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Times New Roman" w:hAnsi="Times New Roman" w:eastAsia="仿宋" w:cs="Times New Roman"/>
          <w:color w:val="auto"/>
          <w:sz w:val="24"/>
          <w:szCs w:val="24"/>
          <w:lang w:val="en-US" w:eastAsia="zh-CN"/>
        </w:rPr>
      </w:pPr>
      <w:r>
        <w:rPr>
          <w:rFonts w:hint="eastAsia" w:ascii="Times New Roman" w:hAnsi="Times New Roman" w:eastAsia="仿宋" w:cs="Times New Roman"/>
          <w:color w:val="auto"/>
          <w:sz w:val="24"/>
          <w:szCs w:val="24"/>
          <w:lang w:val="en-US" w:eastAsia="zh-CN"/>
        </w:rPr>
        <w:t>GB/T 30989  高通量基因测序技术规程</w:t>
      </w:r>
    </w:p>
    <w:p w14:paraId="2B9B078D">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Times New Roman" w:hAnsi="Times New Roman" w:eastAsia="仿宋" w:cs="Times New Roman"/>
          <w:color w:val="auto"/>
          <w:sz w:val="24"/>
          <w:szCs w:val="24"/>
          <w:lang w:val="en-US" w:eastAsia="zh-CN"/>
        </w:rPr>
      </w:pPr>
      <w:r>
        <w:rPr>
          <w:rFonts w:hint="eastAsia" w:ascii="Times New Roman" w:hAnsi="Times New Roman" w:eastAsia="仿宋" w:cs="Times New Roman"/>
          <w:color w:val="auto"/>
          <w:sz w:val="24"/>
          <w:szCs w:val="24"/>
          <w:lang w:val="en-US" w:eastAsia="zh-CN"/>
        </w:rPr>
        <w:t>GB/T 34265  Sanger法测序技术指南</w:t>
      </w:r>
    </w:p>
    <w:p w14:paraId="73B2EF00">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Times New Roman" w:hAnsi="Times New Roman" w:eastAsia="仿宋" w:cs="Times New Roman"/>
          <w:color w:val="auto"/>
          <w:sz w:val="24"/>
          <w:szCs w:val="24"/>
          <w:lang w:val="en-US" w:eastAsia="zh-CN"/>
        </w:rPr>
      </w:pPr>
      <w:r>
        <w:rPr>
          <w:rFonts w:hint="eastAsia" w:ascii="Times New Roman" w:hAnsi="Times New Roman" w:eastAsia="仿宋" w:cs="Times New Roman"/>
          <w:color w:val="auto"/>
          <w:sz w:val="24"/>
          <w:szCs w:val="24"/>
          <w:lang w:val="en-US" w:eastAsia="zh-CN"/>
        </w:rPr>
        <w:t>GB/T 35537  高通量基因测序结果评价要求</w:t>
      </w:r>
    </w:p>
    <w:p w14:paraId="441FDA65">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Times New Roman" w:hAnsi="Times New Roman" w:eastAsia="仿宋" w:cs="Times New Roman"/>
          <w:color w:val="auto"/>
          <w:sz w:val="24"/>
          <w:szCs w:val="24"/>
          <w:lang w:val="en-US" w:eastAsia="zh-CN"/>
        </w:rPr>
      </w:pPr>
      <w:r>
        <w:rPr>
          <w:rFonts w:hint="eastAsia" w:ascii="Times New Roman" w:hAnsi="Times New Roman" w:eastAsia="仿宋" w:cs="Times New Roman"/>
          <w:color w:val="auto"/>
          <w:sz w:val="24"/>
          <w:szCs w:val="24"/>
          <w:lang w:val="en-US" w:eastAsia="zh-CN"/>
        </w:rPr>
        <w:t>GB/T 37870  个体鉴定的高通量测序方法</w:t>
      </w:r>
    </w:p>
    <w:p w14:paraId="2BF8906B">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Times New Roman" w:hAnsi="Times New Roman" w:eastAsia="仿宋" w:cs="Times New Roman"/>
          <w:color w:val="auto"/>
          <w:sz w:val="24"/>
          <w:szCs w:val="24"/>
          <w:lang w:val="en-US" w:eastAsia="zh-CN"/>
        </w:rPr>
      </w:pPr>
      <w:r>
        <w:rPr>
          <w:rFonts w:hint="eastAsia" w:ascii="Times New Roman" w:hAnsi="Times New Roman" w:eastAsia="仿宋" w:cs="Times New Roman"/>
          <w:color w:val="auto"/>
          <w:sz w:val="24"/>
          <w:szCs w:val="24"/>
          <w:lang w:val="en-US" w:eastAsia="zh-CN"/>
        </w:rPr>
        <w:t>GB/T 37874  核酸提取纯化方法评价通则</w:t>
      </w:r>
    </w:p>
    <w:p w14:paraId="68FF7D03">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Times New Roman" w:hAnsi="Times New Roman" w:eastAsia="仿宋" w:cs="Times New Roman"/>
          <w:color w:val="auto"/>
          <w:sz w:val="24"/>
          <w:szCs w:val="24"/>
          <w:lang w:val="en-US" w:eastAsia="zh-CN"/>
        </w:rPr>
      </w:pPr>
      <w:r>
        <w:rPr>
          <w:rFonts w:hint="eastAsia" w:ascii="Times New Roman" w:hAnsi="Times New Roman" w:eastAsia="仿宋" w:cs="Times New Roman"/>
          <w:color w:val="auto"/>
          <w:sz w:val="24"/>
          <w:szCs w:val="24"/>
          <w:lang w:val="en-US" w:eastAsia="zh-CN"/>
        </w:rPr>
        <w:t>GB/T 40226  环境微生物宏基因组检测　高通量测序法</w:t>
      </w:r>
    </w:p>
    <w:p w14:paraId="041B914A">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Times New Roman" w:hAnsi="Times New Roman" w:eastAsia="仿宋" w:cs="Times New Roman"/>
          <w:color w:val="auto"/>
          <w:sz w:val="24"/>
          <w:szCs w:val="24"/>
          <w:lang w:val="en-US" w:eastAsia="zh-CN"/>
        </w:rPr>
      </w:pPr>
      <w:r>
        <w:rPr>
          <w:rFonts w:hint="eastAsia" w:ascii="Times New Roman" w:hAnsi="Times New Roman" w:eastAsia="仿宋" w:cs="Times New Roman"/>
          <w:color w:val="auto"/>
          <w:sz w:val="24"/>
          <w:szCs w:val="24"/>
          <w:lang w:val="en-US" w:eastAsia="zh-CN"/>
        </w:rPr>
        <w:t>HJ 494  水质 采样技术指导</w:t>
      </w:r>
    </w:p>
    <w:p w14:paraId="5B817C4B">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Times New Roman" w:hAnsi="Times New Roman" w:eastAsia="仿宋" w:cs="Times New Roman"/>
          <w:color w:val="auto"/>
          <w:sz w:val="24"/>
          <w:szCs w:val="24"/>
          <w:lang w:val="en-US" w:eastAsia="zh-CN"/>
        </w:rPr>
      </w:pPr>
      <w:r>
        <w:rPr>
          <w:rFonts w:hint="eastAsia" w:ascii="Times New Roman" w:hAnsi="Times New Roman" w:eastAsia="仿宋" w:cs="Times New Roman"/>
          <w:color w:val="auto"/>
          <w:sz w:val="24"/>
          <w:szCs w:val="24"/>
          <w:lang w:val="en-US" w:eastAsia="zh-CN"/>
        </w:rPr>
        <w:t>HJ 710.8  生物多样性观测技术导则淡水底栖大型无脊椎动物</w:t>
      </w:r>
    </w:p>
    <w:p w14:paraId="6C1F8A41">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Times New Roman" w:hAnsi="Times New Roman" w:eastAsia="仿宋" w:cs="Times New Roman"/>
          <w:color w:val="auto"/>
          <w:sz w:val="24"/>
          <w:szCs w:val="24"/>
          <w:lang w:val="en-US" w:eastAsia="zh-CN"/>
        </w:rPr>
      </w:pPr>
      <w:r>
        <w:rPr>
          <w:rFonts w:hint="eastAsia" w:ascii="Times New Roman" w:hAnsi="Times New Roman" w:eastAsia="仿宋" w:cs="Times New Roman"/>
          <w:color w:val="auto"/>
          <w:sz w:val="24"/>
          <w:szCs w:val="24"/>
          <w:lang w:val="en-US" w:eastAsia="zh-CN"/>
        </w:rPr>
        <w:t>HJ 1295  水生态监测技术指南 河流水生生物监测与评价(试行)</w:t>
      </w:r>
    </w:p>
    <w:p w14:paraId="6D94BB58">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Times New Roman" w:hAnsi="Times New Roman" w:eastAsia="仿宋" w:cs="Times New Roman"/>
          <w:color w:val="auto"/>
          <w:sz w:val="24"/>
          <w:szCs w:val="24"/>
          <w:lang w:val="en-US" w:eastAsia="zh-CN"/>
        </w:rPr>
      </w:pPr>
      <w:r>
        <w:rPr>
          <w:rFonts w:hint="eastAsia" w:ascii="Times New Roman" w:hAnsi="Times New Roman" w:eastAsia="仿宋" w:cs="Times New Roman"/>
          <w:color w:val="auto"/>
          <w:sz w:val="24"/>
          <w:szCs w:val="24"/>
          <w:lang w:val="en-US" w:eastAsia="zh-CN"/>
        </w:rPr>
        <w:t>HJ 1296  水生态监测技术指南湖泊和水库水生生物监测与评价(试行)</w:t>
      </w:r>
    </w:p>
    <w:p w14:paraId="18E78655">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textAlignment w:val="auto"/>
        <w:rPr>
          <w:rFonts w:hint="eastAsia" w:eastAsia="仿宋" w:cs="Times New Roman"/>
          <w:b/>
          <w:bCs/>
          <w:color w:val="auto"/>
          <w:sz w:val="24"/>
          <w:szCs w:val="24"/>
          <w:lang w:val="en-US" w:eastAsia="zh-CN"/>
        </w:rPr>
      </w:pPr>
      <w:r>
        <w:rPr>
          <w:rFonts w:hint="eastAsia" w:eastAsia="仿宋" w:cs="Times New Roman"/>
          <w:b/>
          <w:bCs/>
          <w:color w:val="auto"/>
          <w:sz w:val="24"/>
          <w:szCs w:val="24"/>
          <w:lang w:val="en-US" w:eastAsia="zh-CN"/>
        </w:rPr>
        <w:t>5.2.3 术语与定义</w:t>
      </w:r>
      <w:bookmarkEnd w:id="53"/>
      <w:bookmarkEnd w:id="54"/>
      <w:bookmarkEnd w:id="55"/>
      <w:bookmarkEnd w:id="56"/>
      <w:bookmarkEnd w:id="57"/>
      <w:bookmarkEnd w:id="58"/>
      <w:bookmarkEnd w:id="59"/>
      <w:bookmarkEnd w:id="60"/>
      <w:bookmarkEnd w:id="61"/>
    </w:p>
    <w:p w14:paraId="59342D15">
      <w:pPr>
        <w:pStyle w:val="15"/>
        <w:keepNext w:val="0"/>
        <w:keepLines w:val="0"/>
        <w:pageBreakBefore w:val="0"/>
        <w:widowControl w:val="0"/>
        <w:tabs>
          <w:tab w:val="center" w:pos="4201"/>
          <w:tab w:val="right" w:leader="dot" w:pos="9298"/>
        </w:tabs>
        <w:kinsoku/>
        <w:wordWrap/>
        <w:overflowPunct/>
        <w:topLinePunct w:val="0"/>
        <w:autoSpaceDE/>
        <w:autoSpaceDN/>
        <w:bidi w:val="0"/>
        <w:adjustRightInd w:val="0"/>
        <w:snapToGrid/>
        <w:spacing w:line="480" w:lineRule="exact"/>
        <w:ind w:firstLine="560"/>
        <w:textAlignment w:val="auto"/>
        <w:rPr>
          <w:rFonts w:hint="eastAsia" w:ascii="Times New Roman" w:hAnsi="Times New Roman" w:eastAsia="仿宋" w:cs="Times New Roman"/>
          <w:color w:val="auto"/>
          <w:sz w:val="24"/>
          <w:szCs w:val="24"/>
          <w:lang w:val="en-US" w:eastAsia="zh-CN" w:bidi="ar-SA"/>
        </w:rPr>
      </w:pPr>
      <w:r>
        <w:rPr>
          <w:rFonts w:hint="eastAsia" w:ascii="Times New Roman" w:hAnsi="Times New Roman" w:eastAsia="仿宋" w:cs="Times New Roman"/>
          <w:color w:val="auto"/>
          <w:sz w:val="24"/>
          <w:szCs w:val="24"/>
          <w:lang w:val="en-US" w:eastAsia="zh-CN" w:bidi="ar-SA"/>
        </w:rPr>
        <w:t>本标准涉及了</w:t>
      </w:r>
      <w:r>
        <w:rPr>
          <w:rFonts w:hint="eastAsia" w:eastAsia="仿宋" w:cs="Times New Roman"/>
          <w:color w:val="auto"/>
          <w:sz w:val="24"/>
          <w:szCs w:val="24"/>
          <w:lang w:val="en-US" w:eastAsia="zh-CN" w:bidi="ar-SA"/>
        </w:rPr>
        <w:t>18</w:t>
      </w:r>
      <w:r>
        <w:rPr>
          <w:rFonts w:hint="eastAsia" w:ascii="Times New Roman" w:hAnsi="Times New Roman" w:eastAsia="仿宋" w:cs="Times New Roman"/>
          <w:color w:val="auto"/>
          <w:sz w:val="24"/>
          <w:szCs w:val="24"/>
          <w:lang w:val="en-US" w:eastAsia="zh-CN" w:bidi="ar-SA"/>
        </w:rPr>
        <w:t>个术语和定义。</w:t>
      </w:r>
      <w:r>
        <w:rPr>
          <w:rFonts w:hint="eastAsia" w:eastAsia="仿宋" w:cs="Times New Roman"/>
          <w:color w:val="auto"/>
          <w:sz w:val="24"/>
          <w:szCs w:val="24"/>
          <w:lang w:val="en-US" w:eastAsia="zh-CN" w:bidi="ar-SA"/>
        </w:rPr>
        <w:t>具体说明如下：</w:t>
      </w:r>
    </w:p>
    <w:p w14:paraId="356BC0F7">
      <w:pPr>
        <w:pStyle w:val="15"/>
        <w:keepNext w:val="0"/>
        <w:keepLines w:val="0"/>
        <w:pageBreakBefore w:val="0"/>
        <w:widowControl w:val="0"/>
        <w:tabs>
          <w:tab w:val="center" w:pos="4201"/>
          <w:tab w:val="right" w:leader="dot" w:pos="9298"/>
        </w:tabs>
        <w:kinsoku/>
        <w:wordWrap/>
        <w:overflowPunct/>
        <w:topLinePunct w:val="0"/>
        <w:autoSpaceDE/>
        <w:autoSpaceDN/>
        <w:bidi w:val="0"/>
        <w:adjustRightInd w:val="0"/>
        <w:snapToGrid/>
        <w:spacing w:line="480" w:lineRule="exact"/>
        <w:ind w:firstLine="560"/>
        <w:textAlignment w:val="auto"/>
        <w:rPr>
          <w:rFonts w:hint="eastAsia" w:ascii="Times New Roman" w:hAnsi="Times New Roman" w:eastAsia="仿宋" w:cs="Times New Roman"/>
          <w:color w:val="auto"/>
          <w:sz w:val="24"/>
          <w:szCs w:val="24"/>
          <w:lang w:val="en-US" w:eastAsia="zh-CN" w:bidi="ar-SA"/>
        </w:rPr>
      </w:pPr>
      <w:r>
        <w:rPr>
          <w:rFonts w:hint="eastAsia" w:ascii="Times New Roman" w:hAnsi="Times New Roman" w:eastAsia="仿宋" w:cs="Times New Roman"/>
          <w:color w:val="auto"/>
          <w:sz w:val="24"/>
          <w:szCs w:val="24"/>
          <w:lang w:val="en-US" w:eastAsia="zh-CN" w:bidi="ar-SA"/>
        </w:rPr>
        <w:t>（1）</w:t>
      </w:r>
      <w:r>
        <w:rPr>
          <w:rFonts w:hint="default" w:ascii="Times New Roman" w:hAnsi="Times New Roman" w:eastAsia="仿宋" w:cs="Times New Roman"/>
          <w:color w:val="auto"/>
          <w:sz w:val="24"/>
          <w:szCs w:val="24"/>
          <w:lang w:val="en-US" w:eastAsia="zh-CN" w:bidi="ar-SA"/>
        </w:rPr>
        <w:t>引物</w:t>
      </w:r>
      <w:r>
        <w:rPr>
          <w:rFonts w:hint="eastAsia" w:ascii="Times New Roman" w:hAnsi="Times New Roman" w:eastAsia="仿宋" w:cs="Times New Roman"/>
          <w:color w:val="auto"/>
          <w:sz w:val="24"/>
          <w:szCs w:val="24"/>
          <w:lang w:val="en-US" w:eastAsia="zh-CN" w:bidi="ar-SA"/>
        </w:rPr>
        <w:t>：</w:t>
      </w:r>
      <w:r>
        <w:rPr>
          <w:rFonts w:hint="eastAsia" w:eastAsia="仿宋" w:cs="Times New Roman"/>
          <w:color w:val="auto"/>
          <w:sz w:val="24"/>
          <w:szCs w:val="24"/>
          <w:lang w:val="en-US" w:eastAsia="zh-CN" w:bidi="ar-SA"/>
        </w:rPr>
        <w:t>指</w:t>
      </w:r>
      <w:r>
        <w:rPr>
          <w:rFonts w:hint="eastAsia" w:ascii="Times New Roman" w:hAnsi="Times New Roman" w:eastAsia="仿宋" w:cs="Times New Roman"/>
          <w:color w:val="auto"/>
          <w:sz w:val="24"/>
          <w:szCs w:val="24"/>
          <w:lang w:val="en-US" w:eastAsia="zh-CN" w:bidi="ar-SA"/>
        </w:rPr>
        <w:t>在DNA复制过程中，结合于模板链上并作为复制延伸的起始位点和/或终止位点的，具有一定长度和顺序的寡核苷酸链。</w:t>
      </w:r>
    </w:p>
    <w:p w14:paraId="0C88CE1D">
      <w:pPr>
        <w:pStyle w:val="15"/>
        <w:keepNext w:val="0"/>
        <w:keepLines w:val="0"/>
        <w:pageBreakBefore w:val="0"/>
        <w:widowControl w:val="0"/>
        <w:tabs>
          <w:tab w:val="center" w:pos="4201"/>
          <w:tab w:val="right" w:leader="dot" w:pos="9298"/>
        </w:tabs>
        <w:kinsoku/>
        <w:wordWrap/>
        <w:overflowPunct/>
        <w:topLinePunct w:val="0"/>
        <w:autoSpaceDE/>
        <w:autoSpaceDN/>
        <w:bidi w:val="0"/>
        <w:adjustRightInd w:val="0"/>
        <w:snapToGrid/>
        <w:spacing w:line="480" w:lineRule="exact"/>
        <w:ind w:firstLine="560"/>
        <w:textAlignment w:val="auto"/>
        <w:rPr>
          <w:rFonts w:hint="eastAsia" w:ascii="Times New Roman" w:hAnsi="Times New Roman" w:eastAsia="仿宋" w:cs="Times New Roman"/>
          <w:color w:val="auto"/>
          <w:sz w:val="24"/>
          <w:szCs w:val="24"/>
          <w:highlight w:val="none"/>
          <w:lang w:val="en-US" w:eastAsia="zh-CN" w:bidi="ar-SA"/>
        </w:rPr>
      </w:pPr>
      <w:r>
        <w:rPr>
          <w:rFonts w:hint="eastAsia" w:ascii="Times New Roman" w:hAnsi="Times New Roman" w:eastAsia="仿宋" w:cs="Times New Roman"/>
          <w:color w:val="auto"/>
          <w:sz w:val="24"/>
          <w:szCs w:val="24"/>
          <w:lang w:val="en-US" w:eastAsia="zh-CN" w:bidi="ar-SA"/>
        </w:rPr>
        <w:t>【条文说明】</w:t>
      </w:r>
      <w:r>
        <w:rPr>
          <w:rFonts w:hint="eastAsia" w:ascii="Times New Roman" w:hAnsi="Times New Roman" w:eastAsia="仿宋" w:cs="Times New Roman"/>
          <w:color w:val="auto"/>
          <w:sz w:val="24"/>
          <w:szCs w:val="24"/>
          <w:highlight w:val="none"/>
          <w:lang w:val="en-US" w:eastAsia="zh-CN" w:bidi="ar-SA"/>
        </w:rPr>
        <w:t>该定义参照江</w:t>
      </w:r>
      <w:r>
        <w:rPr>
          <w:rFonts w:hint="eastAsia" w:eastAsia="仿宋" w:cs="Times New Roman"/>
          <w:color w:val="auto"/>
          <w:sz w:val="24"/>
          <w:szCs w:val="24"/>
          <w:highlight w:val="none"/>
          <w:lang w:val="en-US" w:eastAsia="zh-CN" w:bidi="ar-SA"/>
        </w:rPr>
        <w:t>苏</w:t>
      </w:r>
      <w:r>
        <w:rPr>
          <w:rFonts w:hint="eastAsia" w:ascii="Times New Roman" w:hAnsi="Times New Roman" w:eastAsia="仿宋" w:cs="Times New Roman"/>
          <w:color w:val="auto"/>
          <w:sz w:val="24"/>
          <w:szCs w:val="24"/>
          <w:highlight w:val="none"/>
          <w:lang w:val="en-US" w:eastAsia="zh-CN" w:bidi="ar-SA"/>
        </w:rPr>
        <w:t>省《淡水生物环境DNA监测技术方法》（</w:t>
      </w:r>
      <w:r>
        <w:rPr>
          <w:rFonts w:hint="eastAsia" w:eastAsia="仿宋" w:cs="Times New Roman"/>
          <w:color w:val="auto"/>
          <w:sz w:val="24"/>
          <w:szCs w:val="24"/>
          <w:highlight w:val="none"/>
          <w:lang w:val="en-US" w:eastAsia="zh-CN" w:bidi="ar-SA"/>
        </w:rPr>
        <w:t>DB32/T 4539—2023</w:t>
      </w:r>
      <w:r>
        <w:rPr>
          <w:rFonts w:hint="eastAsia" w:ascii="Times New Roman" w:hAnsi="Times New Roman" w:eastAsia="仿宋" w:cs="Times New Roman"/>
          <w:color w:val="auto"/>
          <w:sz w:val="24"/>
          <w:szCs w:val="24"/>
          <w:highlight w:val="none"/>
          <w:lang w:val="en-US" w:eastAsia="zh-CN" w:bidi="ar-SA"/>
        </w:rPr>
        <w:t>）中的解释。</w:t>
      </w:r>
    </w:p>
    <w:p w14:paraId="13F81077">
      <w:pPr>
        <w:pStyle w:val="15"/>
        <w:keepNext w:val="0"/>
        <w:keepLines w:val="0"/>
        <w:pageBreakBefore w:val="0"/>
        <w:widowControl w:val="0"/>
        <w:tabs>
          <w:tab w:val="center" w:pos="4201"/>
          <w:tab w:val="right" w:leader="dot" w:pos="9298"/>
        </w:tabs>
        <w:kinsoku/>
        <w:wordWrap/>
        <w:overflowPunct/>
        <w:topLinePunct w:val="0"/>
        <w:autoSpaceDE/>
        <w:autoSpaceDN/>
        <w:bidi w:val="0"/>
        <w:adjustRightInd w:val="0"/>
        <w:snapToGrid/>
        <w:spacing w:line="480" w:lineRule="exact"/>
        <w:ind w:firstLine="560"/>
        <w:textAlignment w:val="auto"/>
        <w:rPr>
          <w:rFonts w:hint="eastAsia" w:ascii="Times New Roman" w:hAnsi="Times New Roman" w:eastAsia="仿宋" w:cs="Times New Roman"/>
          <w:color w:val="auto"/>
          <w:sz w:val="24"/>
          <w:szCs w:val="24"/>
          <w:lang w:val="en-US" w:eastAsia="zh-CN" w:bidi="ar-SA"/>
        </w:rPr>
      </w:pPr>
      <w:r>
        <w:rPr>
          <w:rFonts w:hint="eastAsia" w:ascii="Times New Roman" w:hAnsi="Times New Roman" w:eastAsia="仿宋" w:cs="Times New Roman"/>
          <w:color w:val="auto"/>
          <w:sz w:val="24"/>
          <w:szCs w:val="24"/>
          <w:lang w:val="en-US" w:eastAsia="zh-CN" w:bidi="ar-SA"/>
        </w:rPr>
        <w:t>（</w:t>
      </w:r>
      <w:r>
        <w:rPr>
          <w:rFonts w:hint="eastAsia" w:eastAsia="仿宋" w:cs="Times New Roman"/>
          <w:color w:val="auto"/>
          <w:sz w:val="24"/>
          <w:szCs w:val="24"/>
          <w:lang w:val="en-US" w:eastAsia="zh-CN" w:bidi="ar-SA"/>
        </w:rPr>
        <w:t>2</w:t>
      </w:r>
      <w:r>
        <w:rPr>
          <w:rFonts w:hint="eastAsia" w:ascii="Times New Roman" w:hAnsi="Times New Roman" w:eastAsia="仿宋" w:cs="Times New Roman"/>
          <w:color w:val="auto"/>
          <w:sz w:val="24"/>
          <w:szCs w:val="24"/>
          <w:lang w:val="en-US" w:eastAsia="zh-CN" w:bidi="ar-SA"/>
        </w:rPr>
        <w:t>）</w:t>
      </w:r>
      <w:r>
        <w:rPr>
          <w:rFonts w:hint="default" w:ascii="Times New Roman" w:hAnsi="Times New Roman" w:eastAsia="仿宋" w:cs="Times New Roman"/>
          <w:color w:val="auto"/>
          <w:sz w:val="24"/>
          <w:szCs w:val="24"/>
          <w:lang w:val="en-US" w:eastAsia="zh-CN" w:bidi="ar-SA"/>
        </w:rPr>
        <w:t>聚合酶链式反应</w:t>
      </w:r>
      <w:r>
        <w:rPr>
          <w:rFonts w:hint="eastAsia" w:ascii="Times New Roman" w:hAnsi="Times New Roman" w:eastAsia="仿宋" w:cs="Times New Roman"/>
          <w:color w:val="auto"/>
          <w:sz w:val="24"/>
          <w:szCs w:val="24"/>
          <w:lang w:val="en-US" w:eastAsia="zh-CN" w:bidi="ar-SA"/>
        </w:rPr>
        <w:t>：指</w:t>
      </w:r>
      <w:r>
        <w:rPr>
          <w:rFonts w:hint="default" w:ascii="Times New Roman" w:hAnsi="Times New Roman" w:eastAsia="仿宋" w:cs="Times New Roman"/>
          <w:color w:val="auto"/>
          <w:sz w:val="24"/>
          <w:szCs w:val="24"/>
          <w:lang w:val="en-US" w:eastAsia="zh-CN" w:bidi="ar-SA"/>
        </w:rPr>
        <w:t>一种体外酶促合成特异DNA片段的分子技术，由高温变性、低温退火及适温延伸等几步反应组成一个周期，循环进行，使目的 DNA得以迅速扩增，具有特异性强、灵敏度高、操作简便省时等特点。</w:t>
      </w:r>
    </w:p>
    <w:p w14:paraId="3B651C75">
      <w:pPr>
        <w:pStyle w:val="15"/>
        <w:keepNext w:val="0"/>
        <w:keepLines w:val="0"/>
        <w:pageBreakBefore w:val="0"/>
        <w:widowControl w:val="0"/>
        <w:tabs>
          <w:tab w:val="center" w:pos="4201"/>
          <w:tab w:val="right" w:leader="dot" w:pos="9298"/>
        </w:tabs>
        <w:kinsoku/>
        <w:wordWrap/>
        <w:overflowPunct/>
        <w:topLinePunct w:val="0"/>
        <w:autoSpaceDE/>
        <w:autoSpaceDN/>
        <w:bidi w:val="0"/>
        <w:adjustRightInd w:val="0"/>
        <w:snapToGrid/>
        <w:spacing w:line="480" w:lineRule="exact"/>
        <w:ind w:firstLine="560"/>
        <w:textAlignment w:val="auto"/>
        <w:rPr>
          <w:rFonts w:hint="eastAsia" w:ascii="Times New Roman" w:hAnsi="Times New Roman" w:eastAsia="仿宋" w:cs="Times New Roman"/>
          <w:color w:val="auto"/>
          <w:sz w:val="24"/>
          <w:szCs w:val="24"/>
          <w:highlight w:val="yellow"/>
          <w:lang w:val="en-US" w:eastAsia="zh-CN" w:bidi="ar-SA"/>
        </w:rPr>
      </w:pPr>
      <w:r>
        <w:rPr>
          <w:rFonts w:hint="eastAsia" w:ascii="Times New Roman" w:hAnsi="Times New Roman" w:eastAsia="仿宋" w:cs="Times New Roman"/>
          <w:color w:val="auto"/>
          <w:sz w:val="24"/>
          <w:szCs w:val="24"/>
          <w:lang w:val="en-US" w:eastAsia="zh-CN" w:bidi="ar-SA"/>
        </w:rPr>
        <w:t>【条文说明】</w:t>
      </w:r>
      <w:r>
        <w:rPr>
          <w:rFonts w:hint="eastAsia" w:ascii="Times New Roman" w:hAnsi="Times New Roman" w:eastAsia="仿宋" w:cs="Times New Roman"/>
          <w:color w:val="auto"/>
          <w:sz w:val="24"/>
          <w:szCs w:val="24"/>
          <w:highlight w:val="none"/>
          <w:lang w:val="en-US" w:eastAsia="zh-CN" w:bidi="ar-SA"/>
        </w:rPr>
        <w:t>该定义参照江</w:t>
      </w:r>
      <w:r>
        <w:rPr>
          <w:rFonts w:hint="eastAsia" w:eastAsia="仿宋" w:cs="Times New Roman"/>
          <w:color w:val="auto"/>
          <w:sz w:val="24"/>
          <w:szCs w:val="24"/>
          <w:highlight w:val="none"/>
          <w:lang w:val="en-US" w:eastAsia="zh-CN" w:bidi="ar-SA"/>
        </w:rPr>
        <w:t>苏</w:t>
      </w:r>
      <w:r>
        <w:rPr>
          <w:rFonts w:hint="eastAsia" w:ascii="Times New Roman" w:hAnsi="Times New Roman" w:eastAsia="仿宋" w:cs="Times New Roman"/>
          <w:color w:val="auto"/>
          <w:sz w:val="24"/>
          <w:szCs w:val="24"/>
          <w:highlight w:val="none"/>
          <w:lang w:val="en-US" w:eastAsia="zh-CN" w:bidi="ar-SA"/>
        </w:rPr>
        <w:t>省《淡水生物环境DNA监测技术方法》（</w:t>
      </w:r>
      <w:r>
        <w:rPr>
          <w:rFonts w:hint="eastAsia" w:eastAsia="仿宋" w:cs="Times New Roman"/>
          <w:color w:val="auto"/>
          <w:sz w:val="24"/>
          <w:szCs w:val="24"/>
          <w:highlight w:val="none"/>
          <w:lang w:val="en-US" w:eastAsia="zh-CN" w:bidi="ar-SA"/>
        </w:rPr>
        <w:t>DB32/T 4539—2023</w:t>
      </w:r>
      <w:r>
        <w:rPr>
          <w:rFonts w:hint="eastAsia" w:ascii="Times New Roman" w:hAnsi="Times New Roman" w:eastAsia="仿宋" w:cs="Times New Roman"/>
          <w:color w:val="auto"/>
          <w:sz w:val="24"/>
          <w:szCs w:val="24"/>
          <w:highlight w:val="none"/>
          <w:lang w:val="en-US" w:eastAsia="zh-CN" w:bidi="ar-SA"/>
        </w:rPr>
        <w:t>）中的解释</w:t>
      </w:r>
      <w:r>
        <w:rPr>
          <w:rFonts w:hint="eastAsia" w:eastAsia="仿宋" w:cs="Times New Roman"/>
          <w:color w:val="auto"/>
          <w:sz w:val="24"/>
          <w:szCs w:val="24"/>
          <w:highlight w:val="none"/>
          <w:lang w:val="en-US" w:eastAsia="zh-CN" w:bidi="ar-SA"/>
        </w:rPr>
        <w:t>。</w:t>
      </w:r>
    </w:p>
    <w:p w14:paraId="1849F370">
      <w:pPr>
        <w:pStyle w:val="15"/>
        <w:keepNext w:val="0"/>
        <w:keepLines w:val="0"/>
        <w:pageBreakBefore w:val="0"/>
        <w:widowControl w:val="0"/>
        <w:tabs>
          <w:tab w:val="center" w:pos="4201"/>
          <w:tab w:val="right" w:leader="dot" w:pos="9298"/>
        </w:tabs>
        <w:kinsoku/>
        <w:wordWrap/>
        <w:overflowPunct/>
        <w:topLinePunct w:val="0"/>
        <w:autoSpaceDE/>
        <w:autoSpaceDN/>
        <w:bidi w:val="0"/>
        <w:adjustRightInd w:val="0"/>
        <w:snapToGrid/>
        <w:spacing w:line="480" w:lineRule="exact"/>
        <w:ind w:firstLine="560"/>
        <w:textAlignment w:val="auto"/>
        <w:rPr>
          <w:rFonts w:hint="eastAsia" w:ascii="Times New Roman" w:hAnsi="Times New Roman" w:eastAsia="仿宋" w:cs="Times New Roman"/>
          <w:color w:val="auto"/>
          <w:sz w:val="24"/>
          <w:szCs w:val="24"/>
          <w:lang w:val="en-US" w:eastAsia="zh-CN" w:bidi="ar-SA"/>
        </w:rPr>
      </w:pPr>
      <w:r>
        <w:rPr>
          <w:rFonts w:hint="eastAsia" w:ascii="Times New Roman" w:hAnsi="Times New Roman" w:eastAsia="仿宋" w:cs="Times New Roman"/>
          <w:color w:val="auto"/>
          <w:sz w:val="24"/>
          <w:szCs w:val="24"/>
          <w:lang w:val="en-US" w:eastAsia="zh-CN" w:bidi="ar-SA"/>
        </w:rPr>
        <w:t>（</w:t>
      </w:r>
      <w:r>
        <w:rPr>
          <w:rFonts w:hint="eastAsia" w:eastAsia="仿宋" w:cs="Times New Roman"/>
          <w:color w:val="auto"/>
          <w:sz w:val="24"/>
          <w:szCs w:val="24"/>
          <w:lang w:val="en-US" w:eastAsia="zh-CN" w:bidi="ar-SA"/>
        </w:rPr>
        <w:t>3</w:t>
      </w:r>
      <w:r>
        <w:rPr>
          <w:rFonts w:hint="eastAsia" w:ascii="Times New Roman" w:hAnsi="Times New Roman" w:eastAsia="仿宋" w:cs="Times New Roman"/>
          <w:color w:val="auto"/>
          <w:sz w:val="24"/>
          <w:szCs w:val="24"/>
          <w:lang w:val="en-US" w:eastAsia="zh-CN" w:bidi="ar-SA"/>
        </w:rPr>
        <w:t>）</w:t>
      </w:r>
      <w:r>
        <w:rPr>
          <w:rFonts w:hint="default" w:ascii="Times New Roman" w:hAnsi="Times New Roman" w:eastAsia="仿宋" w:cs="Times New Roman"/>
          <w:color w:val="auto"/>
          <w:sz w:val="24"/>
          <w:szCs w:val="24"/>
          <w:lang w:val="en-US" w:eastAsia="zh-CN" w:bidi="ar-SA"/>
        </w:rPr>
        <w:t>Sanger测序</w:t>
      </w:r>
      <w:r>
        <w:rPr>
          <w:rFonts w:hint="eastAsia" w:ascii="Times New Roman" w:hAnsi="Times New Roman" w:eastAsia="仿宋" w:cs="Times New Roman"/>
          <w:color w:val="auto"/>
          <w:sz w:val="24"/>
          <w:szCs w:val="24"/>
          <w:lang w:val="en-US" w:eastAsia="zh-CN" w:bidi="ar-SA"/>
        </w:rPr>
        <w:t>：</w:t>
      </w:r>
      <w:r>
        <w:rPr>
          <w:rFonts w:hint="eastAsia" w:eastAsia="仿宋" w:cs="Times New Roman"/>
          <w:color w:val="auto"/>
          <w:sz w:val="24"/>
          <w:szCs w:val="24"/>
          <w:lang w:val="en-US" w:eastAsia="zh-CN" w:bidi="ar-SA"/>
        </w:rPr>
        <w:t>指</w:t>
      </w:r>
      <w:r>
        <w:rPr>
          <w:rFonts w:hint="default" w:ascii="Times New Roman" w:hAnsi="Times New Roman" w:eastAsia="仿宋" w:cs="Times New Roman"/>
          <w:color w:val="auto"/>
          <w:sz w:val="24"/>
          <w:szCs w:val="24"/>
          <w:lang w:val="en-US" w:eastAsia="zh-CN" w:bidi="ar-SA"/>
        </w:rPr>
        <w:t>用于基因测序的双脱氧末端终止法，在链延伸过程中利用荧光标记双脱氧碱基随机阻断，产生以A/T/G/C结束的四组不同长度的核苷酸链，通过读取荧光信号实现对核酸碱基序列信息的读取。</w:t>
      </w:r>
    </w:p>
    <w:p w14:paraId="67D7F784">
      <w:pPr>
        <w:pStyle w:val="15"/>
        <w:keepNext w:val="0"/>
        <w:keepLines w:val="0"/>
        <w:pageBreakBefore w:val="0"/>
        <w:widowControl w:val="0"/>
        <w:tabs>
          <w:tab w:val="center" w:pos="4201"/>
          <w:tab w:val="right" w:leader="dot" w:pos="9298"/>
        </w:tabs>
        <w:kinsoku/>
        <w:wordWrap/>
        <w:overflowPunct/>
        <w:topLinePunct w:val="0"/>
        <w:autoSpaceDE/>
        <w:autoSpaceDN/>
        <w:bidi w:val="0"/>
        <w:adjustRightInd w:val="0"/>
        <w:snapToGrid/>
        <w:spacing w:line="480" w:lineRule="exact"/>
        <w:ind w:firstLine="560"/>
        <w:textAlignment w:val="auto"/>
        <w:rPr>
          <w:rFonts w:hint="eastAsia" w:ascii="Times New Roman" w:hAnsi="Times New Roman" w:eastAsia="仿宋" w:cs="Times New Roman"/>
          <w:color w:val="auto"/>
          <w:sz w:val="24"/>
          <w:szCs w:val="24"/>
          <w:highlight w:val="yellow"/>
          <w:lang w:val="en-US" w:eastAsia="zh-CN" w:bidi="ar-SA"/>
        </w:rPr>
      </w:pPr>
      <w:r>
        <w:rPr>
          <w:rFonts w:hint="eastAsia" w:ascii="Times New Roman" w:hAnsi="Times New Roman" w:eastAsia="仿宋" w:cs="Times New Roman"/>
          <w:color w:val="auto"/>
          <w:sz w:val="24"/>
          <w:szCs w:val="24"/>
          <w:lang w:val="en-US" w:eastAsia="zh-CN" w:bidi="ar-SA"/>
        </w:rPr>
        <w:t>【条文说明】</w:t>
      </w:r>
      <w:r>
        <w:rPr>
          <w:rFonts w:hint="eastAsia" w:ascii="Times New Roman" w:hAnsi="Times New Roman" w:eastAsia="仿宋" w:cs="Times New Roman"/>
          <w:color w:val="auto"/>
          <w:sz w:val="24"/>
          <w:szCs w:val="24"/>
          <w:highlight w:val="none"/>
          <w:lang w:val="en-US" w:eastAsia="zh-CN" w:bidi="ar-SA"/>
        </w:rPr>
        <w:t>该定义参照江</w:t>
      </w:r>
      <w:r>
        <w:rPr>
          <w:rFonts w:hint="eastAsia" w:eastAsia="仿宋" w:cs="Times New Roman"/>
          <w:color w:val="auto"/>
          <w:sz w:val="24"/>
          <w:szCs w:val="24"/>
          <w:highlight w:val="none"/>
          <w:lang w:val="en-US" w:eastAsia="zh-CN" w:bidi="ar-SA"/>
        </w:rPr>
        <w:t>苏</w:t>
      </w:r>
      <w:r>
        <w:rPr>
          <w:rFonts w:hint="eastAsia" w:ascii="Times New Roman" w:hAnsi="Times New Roman" w:eastAsia="仿宋" w:cs="Times New Roman"/>
          <w:color w:val="auto"/>
          <w:sz w:val="24"/>
          <w:szCs w:val="24"/>
          <w:highlight w:val="none"/>
          <w:lang w:val="en-US" w:eastAsia="zh-CN" w:bidi="ar-SA"/>
        </w:rPr>
        <w:t>省《淡水生物环境DNA监测技术方法》（</w:t>
      </w:r>
      <w:r>
        <w:rPr>
          <w:rFonts w:hint="eastAsia" w:eastAsia="仿宋" w:cs="Times New Roman"/>
          <w:color w:val="auto"/>
          <w:sz w:val="24"/>
          <w:szCs w:val="24"/>
          <w:highlight w:val="none"/>
          <w:lang w:val="en-US" w:eastAsia="zh-CN" w:bidi="ar-SA"/>
        </w:rPr>
        <w:t>DB32/T 4539—2023</w:t>
      </w:r>
      <w:r>
        <w:rPr>
          <w:rFonts w:hint="eastAsia" w:ascii="Times New Roman" w:hAnsi="Times New Roman" w:eastAsia="仿宋" w:cs="Times New Roman"/>
          <w:color w:val="auto"/>
          <w:sz w:val="24"/>
          <w:szCs w:val="24"/>
          <w:highlight w:val="none"/>
          <w:lang w:val="en-US" w:eastAsia="zh-CN" w:bidi="ar-SA"/>
        </w:rPr>
        <w:t>）中的解释</w:t>
      </w:r>
      <w:r>
        <w:rPr>
          <w:rFonts w:hint="eastAsia" w:eastAsia="仿宋" w:cs="Times New Roman"/>
          <w:color w:val="auto"/>
          <w:sz w:val="24"/>
          <w:szCs w:val="24"/>
          <w:highlight w:val="none"/>
          <w:lang w:val="en-US" w:eastAsia="zh-CN" w:bidi="ar-SA"/>
        </w:rPr>
        <w:t>。</w:t>
      </w:r>
    </w:p>
    <w:p w14:paraId="127EA3AE">
      <w:pPr>
        <w:pStyle w:val="15"/>
        <w:keepNext w:val="0"/>
        <w:keepLines w:val="0"/>
        <w:pageBreakBefore w:val="0"/>
        <w:widowControl w:val="0"/>
        <w:tabs>
          <w:tab w:val="center" w:pos="4201"/>
          <w:tab w:val="right" w:leader="dot" w:pos="9298"/>
        </w:tabs>
        <w:kinsoku/>
        <w:wordWrap/>
        <w:overflowPunct/>
        <w:topLinePunct w:val="0"/>
        <w:autoSpaceDE/>
        <w:autoSpaceDN/>
        <w:bidi w:val="0"/>
        <w:adjustRightInd w:val="0"/>
        <w:snapToGrid/>
        <w:spacing w:line="480" w:lineRule="exact"/>
        <w:ind w:firstLine="560"/>
        <w:textAlignment w:val="auto"/>
        <w:rPr>
          <w:rFonts w:hint="eastAsia" w:ascii="Times New Roman" w:hAnsi="Times New Roman" w:eastAsia="仿宋" w:cs="Times New Roman"/>
          <w:color w:val="auto"/>
          <w:sz w:val="24"/>
          <w:szCs w:val="24"/>
          <w:lang w:val="en-US" w:eastAsia="zh-CN" w:bidi="ar-SA"/>
        </w:rPr>
      </w:pPr>
      <w:r>
        <w:rPr>
          <w:rFonts w:hint="eastAsia" w:eastAsia="仿宋" w:cs="Times New Roman"/>
          <w:color w:val="auto"/>
          <w:sz w:val="24"/>
          <w:szCs w:val="24"/>
          <w:lang w:val="en-US" w:eastAsia="zh-CN" w:bidi="ar-SA"/>
        </w:rPr>
        <w:t>（4）</w:t>
      </w:r>
      <w:r>
        <w:rPr>
          <w:rFonts w:hint="default" w:ascii="Times New Roman" w:hAnsi="Times New Roman" w:eastAsia="仿宋" w:cs="Times New Roman"/>
          <w:color w:val="auto"/>
          <w:sz w:val="24"/>
          <w:szCs w:val="24"/>
          <w:lang w:val="en-US" w:eastAsia="zh-CN" w:bidi="ar-SA"/>
        </w:rPr>
        <w:t>高通量测序</w:t>
      </w:r>
      <w:r>
        <w:rPr>
          <w:rFonts w:hint="eastAsia" w:ascii="Times New Roman" w:hAnsi="Times New Roman" w:eastAsia="仿宋" w:cs="Times New Roman"/>
          <w:color w:val="auto"/>
          <w:sz w:val="24"/>
          <w:szCs w:val="24"/>
          <w:lang w:val="en-US" w:eastAsia="zh-CN" w:bidi="ar-SA"/>
        </w:rPr>
        <w:t>：指区别于传统Sanger（双脱氧链末端终止法）测序，能够同时对大量核酸分子进行并行测序的技术。</w:t>
      </w:r>
    </w:p>
    <w:p w14:paraId="09434E5D">
      <w:pPr>
        <w:pStyle w:val="15"/>
        <w:keepNext w:val="0"/>
        <w:keepLines w:val="0"/>
        <w:pageBreakBefore w:val="0"/>
        <w:widowControl w:val="0"/>
        <w:tabs>
          <w:tab w:val="center" w:pos="4201"/>
          <w:tab w:val="right" w:leader="dot" w:pos="9298"/>
        </w:tabs>
        <w:kinsoku/>
        <w:wordWrap/>
        <w:overflowPunct/>
        <w:topLinePunct w:val="0"/>
        <w:autoSpaceDE/>
        <w:autoSpaceDN/>
        <w:bidi w:val="0"/>
        <w:adjustRightInd w:val="0"/>
        <w:snapToGrid/>
        <w:spacing w:line="480" w:lineRule="exact"/>
        <w:ind w:firstLine="560"/>
        <w:textAlignment w:val="auto"/>
        <w:rPr>
          <w:rFonts w:hint="eastAsia" w:ascii="Times New Roman" w:hAnsi="Times New Roman" w:eastAsia="仿宋" w:cs="Times New Roman"/>
          <w:color w:val="auto"/>
          <w:sz w:val="24"/>
          <w:szCs w:val="24"/>
          <w:highlight w:val="yellow"/>
          <w:lang w:val="en-US" w:eastAsia="zh-CN" w:bidi="ar-SA"/>
        </w:rPr>
      </w:pPr>
      <w:r>
        <w:rPr>
          <w:rFonts w:hint="eastAsia" w:ascii="Times New Roman" w:hAnsi="Times New Roman" w:eastAsia="仿宋" w:cs="Times New Roman"/>
          <w:color w:val="auto"/>
          <w:sz w:val="24"/>
          <w:szCs w:val="24"/>
          <w:lang w:val="en-US" w:eastAsia="zh-CN" w:bidi="ar-SA"/>
        </w:rPr>
        <w:t>【条文说明】该定义参照GB/T 34265—2017，3.4中的解释。</w:t>
      </w:r>
    </w:p>
    <w:p w14:paraId="7EF201BF">
      <w:pPr>
        <w:pStyle w:val="15"/>
        <w:keepNext w:val="0"/>
        <w:keepLines w:val="0"/>
        <w:pageBreakBefore w:val="0"/>
        <w:widowControl w:val="0"/>
        <w:tabs>
          <w:tab w:val="center" w:pos="4201"/>
          <w:tab w:val="right" w:leader="dot" w:pos="9298"/>
        </w:tabs>
        <w:kinsoku/>
        <w:wordWrap/>
        <w:overflowPunct/>
        <w:topLinePunct w:val="0"/>
        <w:autoSpaceDE/>
        <w:autoSpaceDN/>
        <w:bidi w:val="0"/>
        <w:adjustRightInd w:val="0"/>
        <w:snapToGrid/>
        <w:spacing w:line="480" w:lineRule="exact"/>
        <w:ind w:firstLine="560"/>
        <w:textAlignment w:val="auto"/>
        <w:rPr>
          <w:rFonts w:hint="eastAsia" w:ascii="Times New Roman" w:hAnsi="Times New Roman" w:eastAsia="仿宋" w:cs="Times New Roman"/>
          <w:color w:val="auto"/>
          <w:sz w:val="24"/>
          <w:szCs w:val="24"/>
          <w:lang w:val="en-US" w:eastAsia="zh-CN" w:bidi="ar-SA"/>
        </w:rPr>
      </w:pPr>
      <w:r>
        <w:rPr>
          <w:rFonts w:hint="eastAsia" w:ascii="Times New Roman" w:hAnsi="Times New Roman" w:eastAsia="仿宋" w:cs="Times New Roman"/>
          <w:color w:val="auto"/>
          <w:sz w:val="24"/>
          <w:szCs w:val="24"/>
          <w:lang w:val="en-US" w:eastAsia="zh-CN" w:bidi="ar-SA"/>
        </w:rPr>
        <w:t>（</w:t>
      </w:r>
      <w:r>
        <w:rPr>
          <w:rFonts w:hint="eastAsia" w:eastAsia="仿宋" w:cs="Times New Roman"/>
          <w:color w:val="auto"/>
          <w:sz w:val="24"/>
          <w:szCs w:val="24"/>
          <w:lang w:val="en-US" w:eastAsia="zh-CN" w:bidi="ar-SA"/>
        </w:rPr>
        <w:t>5</w:t>
      </w:r>
      <w:r>
        <w:rPr>
          <w:rFonts w:hint="eastAsia" w:ascii="Times New Roman" w:hAnsi="Times New Roman" w:eastAsia="仿宋" w:cs="Times New Roman"/>
          <w:color w:val="auto"/>
          <w:sz w:val="24"/>
          <w:szCs w:val="24"/>
          <w:lang w:val="en-US" w:eastAsia="zh-CN" w:bidi="ar-SA"/>
        </w:rPr>
        <w:t>）</w:t>
      </w:r>
      <w:r>
        <w:rPr>
          <w:rFonts w:hint="default" w:ascii="Times New Roman" w:hAnsi="Times New Roman" w:eastAsia="仿宋" w:cs="Times New Roman"/>
          <w:color w:val="auto"/>
          <w:sz w:val="24"/>
          <w:szCs w:val="24"/>
          <w:lang w:val="en-US" w:eastAsia="zh-CN" w:bidi="ar-SA"/>
        </w:rPr>
        <w:t>环境 DNA</w:t>
      </w:r>
      <w:r>
        <w:rPr>
          <w:rFonts w:hint="eastAsia" w:ascii="Times New Roman" w:hAnsi="Times New Roman" w:eastAsia="仿宋" w:cs="Times New Roman"/>
          <w:color w:val="auto"/>
          <w:sz w:val="24"/>
          <w:szCs w:val="24"/>
          <w:lang w:val="en-US" w:eastAsia="zh-CN" w:bidi="ar-SA"/>
        </w:rPr>
        <w:t>：指通过从环境介质（水、土壤、沉积物等）或混合生物组织中提取的DNA。</w:t>
      </w:r>
    </w:p>
    <w:p w14:paraId="384134CD">
      <w:pPr>
        <w:pStyle w:val="15"/>
        <w:keepNext w:val="0"/>
        <w:keepLines w:val="0"/>
        <w:pageBreakBefore w:val="0"/>
        <w:widowControl w:val="0"/>
        <w:tabs>
          <w:tab w:val="center" w:pos="4201"/>
          <w:tab w:val="right" w:leader="dot" w:pos="9298"/>
        </w:tabs>
        <w:kinsoku/>
        <w:wordWrap/>
        <w:overflowPunct/>
        <w:topLinePunct w:val="0"/>
        <w:autoSpaceDE/>
        <w:autoSpaceDN/>
        <w:bidi w:val="0"/>
        <w:adjustRightInd w:val="0"/>
        <w:snapToGrid/>
        <w:spacing w:line="480" w:lineRule="exact"/>
        <w:ind w:firstLine="560"/>
        <w:textAlignment w:val="auto"/>
        <w:rPr>
          <w:rFonts w:hint="eastAsia" w:ascii="Times New Roman" w:hAnsi="Times New Roman" w:eastAsia="仿宋" w:cs="Times New Roman"/>
          <w:color w:val="auto"/>
          <w:sz w:val="24"/>
          <w:szCs w:val="24"/>
          <w:highlight w:val="yellow"/>
          <w:lang w:val="en-US" w:eastAsia="zh-CN" w:bidi="ar-SA"/>
        </w:rPr>
      </w:pPr>
      <w:r>
        <w:rPr>
          <w:rFonts w:hint="eastAsia" w:ascii="Times New Roman" w:hAnsi="Times New Roman" w:eastAsia="仿宋" w:cs="Times New Roman"/>
          <w:color w:val="auto"/>
          <w:sz w:val="24"/>
          <w:szCs w:val="24"/>
          <w:lang w:val="en-US" w:eastAsia="zh-CN" w:bidi="ar-SA"/>
        </w:rPr>
        <w:t>【条文说明】</w:t>
      </w:r>
      <w:r>
        <w:rPr>
          <w:rFonts w:hint="eastAsia" w:ascii="Times New Roman" w:hAnsi="Times New Roman" w:eastAsia="仿宋" w:cs="Times New Roman"/>
          <w:color w:val="auto"/>
          <w:sz w:val="24"/>
          <w:szCs w:val="24"/>
          <w:highlight w:val="none"/>
          <w:lang w:val="en-US" w:eastAsia="zh-CN" w:bidi="ar-SA"/>
        </w:rPr>
        <w:t>该定义参照</w:t>
      </w:r>
      <w:r>
        <w:rPr>
          <w:rFonts w:hint="eastAsia" w:eastAsia="仿宋" w:cs="Times New Roman"/>
          <w:color w:val="auto"/>
          <w:sz w:val="24"/>
          <w:szCs w:val="24"/>
          <w:highlight w:val="none"/>
          <w:lang w:val="en-US" w:eastAsia="zh-CN" w:bidi="ar-SA"/>
        </w:rPr>
        <w:t>团体标准</w:t>
      </w:r>
      <w:r>
        <w:rPr>
          <w:rFonts w:hint="eastAsia" w:ascii="Times New Roman" w:hAnsi="Times New Roman" w:eastAsia="仿宋" w:cs="Times New Roman"/>
          <w:color w:val="auto"/>
          <w:sz w:val="24"/>
          <w:szCs w:val="24"/>
          <w:highlight w:val="none"/>
          <w:lang w:val="en-US" w:eastAsia="zh-CN" w:bidi="ar-SA"/>
        </w:rPr>
        <w:t>《水生生物监测环境DNA宏条形法》（</w:t>
      </w:r>
      <w:r>
        <w:rPr>
          <w:rFonts w:hint="eastAsia" w:eastAsia="仿宋" w:cs="Times New Roman"/>
          <w:color w:val="auto"/>
          <w:sz w:val="24"/>
          <w:szCs w:val="24"/>
          <w:highlight w:val="none"/>
          <w:lang w:val="en-US" w:eastAsia="zh-CN" w:bidi="ar-SA"/>
        </w:rPr>
        <w:t>T/CSES 81—2023</w:t>
      </w:r>
      <w:r>
        <w:rPr>
          <w:rFonts w:hint="eastAsia" w:ascii="Times New Roman" w:hAnsi="Times New Roman" w:eastAsia="仿宋" w:cs="Times New Roman"/>
          <w:color w:val="auto"/>
          <w:sz w:val="24"/>
          <w:szCs w:val="24"/>
          <w:highlight w:val="none"/>
          <w:lang w:val="en-US" w:eastAsia="zh-CN" w:bidi="ar-SA"/>
        </w:rPr>
        <w:t>）中的解释。</w:t>
      </w:r>
    </w:p>
    <w:p w14:paraId="1CB03D96">
      <w:pPr>
        <w:pStyle w:val="15"/>
        <w:keepNext w:val="0"/>
        <w:keepLines w:val="0"/>
        <w:pageBreakBefore w:val="0"/>
        <w:widowControl w:val="0"/>
        <w:tabs>
          <w:tab w:val="center" w:pos="4201"/>
          <w:tab w:val="right" w:leader="dot" w:pos="9298"/>
        </w:tabs>
        <w:kinsoku/>
        <w:wordWrap/>
        <w:overflowPunct/>
        <w:topLinePunct w:val="0"/>
        <w:autoSpaceDE/>
        <w:autoSpaceDN/>
        <w:bidi w:val="0"/>
        <w:adjustRightInd w:val="0"/>
        <w:snapToGrid/>
        <w:spacing w:line="480" w:lineRule="exact"/>
        <w:ind w:firstLine="560"/>
        <w:textAlignment w:val="auto"/>
        <w:rPr>
          <w:rFonts w:hint="eastAsia" w:ascii="Times New Roman" w:hAnsi="Times New Roman" w:eastAsia="仿宋" w:cs="Times New Roman"/>
          <w:color w:val="auto"/>
          <w:sz w:val="24"/>
          <w:szCs w:val="24"/>
          <w:lang w:val="en-US" w:eastAsia="zh-CN" w:bidi="ar-SA"/>
        </w:rPr>
      </w:pPr>
      <w:r>
        <w:rPr>
          <w:rFonts w:hint="eastAsia" w:ascii="Times New Roman" w:hAnsi="Times New Roman" w:eastAsia="仿宋" w:cs="Times New Roman"/>
          <w:color w:val="auto"/>
          <w:sz w:val="24"/>
          <w:szCs w:val="24"/>
          <w:lang w:val="en-US" w:eastAsia="zh-CN" w:bidi="ar-SA"/>
        </w:rPr>
        <w:t>（</w:t>
      </w:r>
      <w:r>
        <w:rPr>
          <w:rFonts w:hint="eastAsia" w:eastAsia="仿宋" w:cs="Times New Roman"/>
          <w:color w:val="auto"/>
          <w:sz w:val="24"/>
          <w:szCs w:val="24"/>
          <w:lang w:val="en-US" w:eastAsia="zh-CN" w:bidi="ar-SA"/>
        </w:rPr>
        <w:t>6</w:t>
      </w:r>
      <w:r>
        <w:rPr>
          <w:rFonts w:hint="eastAsia" w:ascii="Times New Roman" w:hAnsi="Times New Roman" w:eastAsia="仿宋" w:cs="Times New Roman"/>
          <w:color w:val="auto"/>
          <w:sz w:val="24"/>
          <w:szCs w:val="24"/>
          <w:lang w:val="en-US" w:eastAsia="zh-CN" w:bidi="ar-SA"/>
        </w:rPr>
        <w:t>）</w:t>
      </w:r>
      <w:r>
        <w:rPr>
          <w:rFonts w:hint="default" w:ascii="Times New Roman" w:hAnsi="Times New Roman" w:eastAsia="仿宋" w:cs="Times New Roman"/>
          <w:color w:val="auto"/>
          <w:sz w:val="24"/>
          <w:szCs w:val="24"/>
          <w:lang w:val="en-US" w:eastAsia="zh-CN" w:bidi="ar-SA"/>
        </w:rPr>
        <w:t>DNA 条形码</w:t>
      </w:r>
      <w:r>
        <w:rPr>
          <w:rFonts w:hint="eastAsia" w:ascii="Times New Roman" w:hAnsi="Times New Roman" w:eastAsia="仿宋" w:cs="Times New Roman"/>
          <w:color w:val="auto"/>
          <w:sz w:val="24"/>
          <w:szCs w:val="24"/>
          <w:lang w:val="en-US" w:eastAsia="zh-CN" w:bidi="ar-SA"/>
        </w:rPr>
        <w:t>：指细胞核或者细胞器中一段公认的能够代表该物种的标准的、有足够变异的、易扩增的短DNA序列，</w:t>
      </w:r>
      <w:r>
        <w:rPr>
          <w:rFonts w:hint="eastAsia" w:eastAsia="仿宋" w:cs="Times New Roman"/>
          <w:color w:val="auto"/>
          <w:sz w:val="24"/>
          <w:szCs w:val="24"/>
          <w:lang w:val="en-US" w:eastAsia="zh-CN" w:bidi="ar-SA"/>
        </w:rPr>
        <w:t>可</w:t>
      </w:r>
      <w:r>
        <w:rPr>
          <w:rFonts w:hint="eastAsia" w:ascii="Times New Roman" w:hAnsi="Times New Roman" w:eastAsia="仿宋" w:cs="Times New Roman"/>
          <w:color w:val="auto"/>
          <w:sz w:val="24"/>
          <w:szCs w:val="24"/>
          <w:lang w:val="en-US" w:eastAsia="zh-CN" w:bidi="ar-SA"/>
        </w:rPr>
        <w:t>用于物种的识别和鉴定。</w:t>
      </w:r>
    </w:p>
    <w:p w14:paraId="78F05D88">
      <w:pPr>
        <w:pStyle w:val="15"/>
        <w:keepNext w:val="0"/>
        <w:keepLines w:val="0"/>
        <w:pageBreakBefore w:val="0"/>
        <w:widowControl w:val="0"/>
        <w:tabs>
          <w:tab w:val="center" w:pos="4201"/>
          <w:tab w:val="right" w:leader="dot" w:pos="9298"/>
        </w:tabs>
        <w:kinsoku/>
        <w:wordWrap/>
        <w:overflowPunct/>
        <w:topLinePunct w:val="0"/>
        <w:autoSpaceDE/>
        <w:autoSpaceDN/>
        <w:bidi w:val="0"/>
        <w:adjustRightInd w:val="0"/>
        <w:snapToGrid/>
        <w:spacing w:line="480" w:lineRule="exact"/>
        <w:ind w:firstLine="560"/>
        <w:textAlignment w:val="auto"/>
        <w:rPr>
          <w:rFonts w:hint="eastAsia" w:ascii="Times New Roman" w:hAnsi="Times New Roman" w:eastAsia="仿宋" w:cs="Times New Roman"/>
          <w:color w:val="auto"/>
          <w:sz w:val="24"/>
          <w:szCs w:val="24"/>
          <w:highlight w:val="yellow"/>
          <w:lang w:val="en-US" w:eastAsia="zh-CN" w:bidi="ar-SA"/>
        </w:rPr>
      </w:pPr>
      <w:r>
        <w:rPr>
          <w:rFonts w:hint="eastAsia" w:ascii="Times New Roman" w:hAnsi="Times New Roman" w:eastAsia="仿宋" w:cs="Times New Roman"/>
          <w:color w:val="auto"/>
          <w:sz w:val="24"/>
          <w:szCs w:val="24"/>
          <w:lang w:val="en-US" w:eastAsia="zh-CN" w:bidi="ar-SA"/>
        </w:rPr>
        <w:t>【条文说明】该定义参照LY/T 3191—2020，3.6中的解释，有修改。</w:t>
      </w:r>
    </w:p>
    <w:p w14:paraId="226B64B1">
      <w:pPr>
        <w:pStyle w:val="15"/>
        <w:keepNext w:val="0"/>
        <w:keepLines w:val="0"/>
        <w:pageBreakBefore w:val="0"/>
        <w:widowControl w:val="0"/>
        <w:tabs>
          <w:tab w:val="center" w:pos="4201"/>
          <w:tab w:val="right" w:leader="dot" w:pos="9298"/>
        </w:tabs>
        <w:kinsoku/>
        <w:wordWrap/>
        <w:overflowPunct/>
        <w:topLinePunct w:val="0"/>
        <w:autoSpaceDE/>
        <w:autoSpaceDN/>
        <w:bidi w:val="0"/>
        <w:adjustRightInd w:val="0"/>
        <w:snapToGrid/>
        <w:spacing w:line="480" w:lineRule="exact"/>
        <w:ind w:firstLine="560"/>
        <w:textAlignment w:val="auto"/>
        <w:rPr>
          <w:rFonts w:hint="eastAsia" w:ascii="Times New Roman" w:hAnsi="Times New Roman" w:eastAsia="仿宋" w:cs="Times New Roman"/>
          <w:color w:val="auto"/>
          <w:sz w:val="24"/>
          <w:szCs w:val="24"/>
          <w:lang w:val="en-US" w:eastAsia="zh-CN" w:bidi="ar-SA"/>
        </w:rPr>
      </w:pPr>
      <w:r>
        <w:rPr>
          <w:rFonts w:hint="eastAsia" w:ascii="Times New Roman" w:hAnsi="Times New Roman" w:eastAsia="仿宋" w:cs="Times New Roman"/>
          <w:color w:val="auto"/>
          <w:sz w:val="24"/>
          <w:szCs w:val="24"/>
          <w:lang w:val="en-US" w:eastAsia="zh-CN" w:bidi="ar-SA"/>
        </w:rPr>
        <w:t>（</w:t>
      </w:r>
      <w:r>
        <w:rPr>
          <w:rFonts w:hint="eastAsia" w:eastAsia="仿宋" w:cs="Times New Roman"/>
          <w:color w:val="auto"/>
          <w:sz w:val="24"/>
          <w:szCs w:val="24"/>
          <w:lang w:val="en-US" w:eastAsia="zh-CN" w:bidi="ar-SA"/>
        </w:rPr>
        <w:t>7</w:t>
      </w:r>
      <w:r>
        <w:rPr>
          <w:rFonts w:hint="eastAsia" w:ascii="Times New Roman" w:hAnsi="Times New Roman" w:eastAsia="仿宋" w:cs="Times New Roman"/>
          <w:color w:val="auto"/>
          <w:sz w:val="24"/>
          <w:szCs w:val="24"/>
          <w:lang w:val="en-US" w:eastAsia="zh-CN" w:bidi="ar-SA"/>
        </w:rPr>
        <w:t>）线粒体细胞色素c氧化酶I：指后生动物线粒体基因组上的线粒体细胞色素c氧化酶I对应的DNA序列。</w:t>
      </w:r>
    </w:p>
    <w:p w14:paraId="6192E27C">
      <w:pPr>
        <w:pStyle w:val="15"/>
        <w:keepNext w:val="0"/>
        <w:keepLines w:val="0"/>
        <w:pageBreakBefore w:val="0"/>
        <w:widowControl w:val="0"/>
        <w:tabs>
          <w:tab w:val="center" w:pos="4201"/>
          <w:tab w:val="right" w:leader="dot" w:pos="9298"/>
        </w:tabs>
        <w:kinsoku/>
        <w:wordWrap/>
        <w:overflowPunct/>
        <w:topLinePunct w:val="0"/>
        <w:autoSpaceDE/>
        <w:autoSpaceDN/>
        <w:bidi w:val="0"/>
        <w:adjustRightInd w:val="0"/>
        <w:snapToGrid/>
        <w:spacing w:line="480" w:lineRule="exact"/>
        <w:ind w:firstLine="560"/>
        <w:textAlignment w:val="auto"/>
        <w:rPr>
          <w:rFonts w:hint="eastAsia" w:ascii="Times New Roman" w:hAnsi="Times New Roman" w:eastAsia="仿宋" w:cs="Times New Roman"/>
          <w:color w:val="auto"/>
          <w:sz w:val="24"/>
          <w:szCs w:val="24"/>
          <w:highlight w:val="none"/>
          <w:lang w:val="en-US" w:eastAsia="zh-CN" w:bidi="ar-SA"/>
        </w:rPr>
      </w:pPr>
      <w:r>
        <w:rPr>
          <w:rFonts w:hint="eastAsia" w:ascii="Times New Roman" w:hAnsi="Times New Roman" w:eastAsia="仿宋" w:cs="Times New Roman"/>
          <w:color w:val="auto"/>
          <w:sz w:val="24"/>
          <w:szCs w:val="24"/>
          <w:lang w:val="en-US" w:eastAsia="zh-CN" w:bidi="ar-SA"/>
        </w:rPr>
        <w:t>【条文说明】</w:t>
      </w:r>
      <w:r>
        <w:rPr>
          <w:rFonts w:hint="eastAsia" w:ascii="Times New Roman" w:hAnsi="Times New Roman" w:eastAsia="仿宋" w:cs="Times New Roman"/>
          <w:color w:val="auto"/>
          <w:sz w:val="24"/>
          <w:szCs w:val="24"/>
          <w:highlight w:val="none"/>
          <w:lang w:val="en-US" w:eastAsia="zh-CN" w:bidi="ar-SA"/>
        </w:rPr>
        <w:t>该定义参照</w:t>
      </w:r>
      <w:r>
        <w:rPr>
          <w:rFonts w:hint="eastAsia" w:eastAsia="仿宋" w:cs="Times New Roman"/>
          <w:color w:val="auto"/>
          <w:sz w:val="24"/>
          <w:szCs w:val="24"/>
          <w:highlight w:val="none"/>
          <w:lang w:val="en-US" w:eastAsia="zh-CN" w:bidi="ar-SA"/>
        </w:rPr>
        <w:t>团体标准</w:t>
      </w:r>
      <w:r>
        <w:rPr>
          <w:rFonts w:hint="eastAsia" w:ascii="Times New Roman" w:hAnsi="Times New Roman" w:eastAsia="仿宋" w:cs="Times New Roman"/>
          <w:color w:val="auto"/>
          <w:sz w:val="24"/>
          <w:szCs w:val="24"/>
          <w:highlight w:val="none"/>
          <w:lang w:val="en-US" w:eastAsia="zh-CN" w:bidi="ar-SA"/>
        </w:rPr>
        <w:t>《水生生物监测环境DNA宏条形法》（</w:t>
      </w:r>
      <w:r>
        <w:rPr>
          <w:rFonts w:hint="eastAsia" w:eastAsia="仿宋" w:cs="Times New Roman"/>
          <w:color w:val="auto"/>
          <w:sz w:val="24"/>
          <w:szCs w:val="24"/>
          <w:highlight w:val="none"/>
          <w:lang w:val="en-US" w:eastAsia="zh-CN" w:bidi="ar-SA"/>
        </w:rPr>
        <w:t>T/CSES 81—2023</w:t>
      </w:r>
      <w:r>
        <w:rPr>
          <w:rFonts w:hint="eastAsia" w:ascii="Times New Roman" w:hAnsi="Times New Roman" w:eastAsia="仿宋" w:cs="Times New Roman"/>
          <w:color w:val="auto"/>
          <w:sz w:val="24"/>
          <w:szCs w:val="24"/>
          <w:highlight w:val="none"/>
          <w:lang w:val="en-US" w:eastAsia="zh-CN" w:bidi="ar-SA"/>
        </w:rPr>
        <w:t>）中的解释。</w:t>
      </w:r>
    </w:p>
    <w:p w14:paraId="6853F47E">
      <w:pPr>
        <w:pStyle w:val="15"/>
        <w:keepNext w:val="0"/>
        <w:keepLines w:val="0"/>
        <w:pageBreakBefore w:val="0"/>
        <w:widowControl w:val="0"/>
        <w:tabs>
          <w:tab w:val="center" w:pos="4201"/>
          <w:tab w:val="right" w:leader="dot" w:pos="9298"/>
        </w:tabs>
        <w:kinsoku/>
        <w:wordWrap/>
        <w:overflowPunct/>
        <w:topLinePunct w:val="0"/>
        <w:autoSpaceDE/>
        <w:autoSpaceDN/>
        <w:bidi w:val="0"/>
        <w:adjustRightInd w:val="0"/>
        <w:snapToGrid/>
        <w:spacing w:line="480" w:lineRule="exact"/>
        <w:ind w:firstLine="560"/>
        <w:textAlignment w:val="auto"/>
        <w:rPr>
          <w:rFonts w:hint="eastAsia" w:ascii="Times New Roman" w:hAnsi="Times New Roman" w:eastAsia="仿宋" w:cs="Times New Roman"/>
          <w:color w:val="auto"/>
          <w:sz w:val="24"/>
          <w:szCs w:val="24"/>
          <w:lang w:val="en-US" w:eastAsia="zh-CN" w:bidi="ar-SA"/>
        </w:rPr>
      </w:pPr>
      <w:r>
        <w:rPr>
          <w:rFonts w:hint="eastAsia" w:ascii="Times New Roman" w:hAnsi="Times New Roman" w:eastAsia="仿宋" w:cs="Times New Roman"/>
          <w:color w:val="auto"/>
          <w:sz w:val="24"/>
          <w:szCs w:val="24"/>
          <w:lang w:val="en-US" w:eastAsia="zh-CN" w:bidi="ar-SA"/>
        </w:rPr>
        <w:t>（</w:t>
      </w:r>
      <w:r>
        <w:rPr>
          <w:rFonts w:hint="eastAsia" w:eastAsia="仿宋" w:cs="Times New Roman"/>
          <w:color w:val="auto"/>
          <w:sz w:val="24"/>
          <w:szCs w:val="24"/>
          <w:lang w:val="en-US" w:eastAsia="zh-CN" w:bidi="ar-SA"/>
        </w:rPr>
        <w:t>8</w:t>
      </w:r>
      <w:r>
        <w:rPr>
          <w:rFonts w:hint="eastAsia" w:ascii="Times New Roman" w:hAnsi="Times New Roman" w:eastAsia="仿宋" w:cs="Times New Roman"/>
          <w:color w:val="auto"/>
          <w:sz w:val="24"/>
          <w:szCs w:val="24"/>
          <w:lang w:val="en-US" w:eastAsia="zh-CN" w:bidi="ar-SA"/>
        </w:rPr>
        <w:t>）</w:t>
      </w:r>
      <w:r>
        <w:rPr>
          <w:rFonts w:hint="default" w:ascii="Times New Roman" w:hAnsi="Times New Roman" w:eastAsia="仿宋" w:cs="Times New Roman"/>
          <w:color w:val="auto"/>
          <w:sz w:val="24"/>
          <w:szCs w:val="24"/>
          <w:lang w:val="en-US" w:eastAsia="zh-CN" w:bidi="ar-SA"/>
        </w:rPr>
        <w:t>DNA 宏条形码技术</w:t>
      </w:r>
      <w:r>
        <w:rPr>
          <w:rFonts w:hint="eastAsia" w:ascii="Times New Roman" w:hAnsi="Times New Roman" w:eastAsia="仿宋" w:cs="Times New Roman"/>
          <w:color w:val="auto"/>
          <w:sz w:val="24"/>
          <w:szCs w:val="24"/>
          <w:lang w:val="en-US" w:eastAsia="zh-CN" w:bidi="ar-SA"/>
        </w:rPr>
        <w:t>：指利用高通量测序获取环境介质（如水、沉积物、土壤、空气等）或混合生物组织中的特定DNA片段，根据物种间特定DNA序列差异识别物种，获取物种组成和群落结构。</w:t>
      </w:r>
    </w:p>
    <w:p w14:paraId="69648617">
      <w:pPr>
        <w:pStyle w:val="15"/>
        <w:keepNext w:val="0"/>
        <w:keepLines w:val="0"/>
        <w:pageBreakBefore w:val="0"/>
        <w:widowControl w:val="0"/>
        <w:tabs>
          <w:tab w:val="center" w:pos="4201"/>
          <w:tab w:val="right" w:leader="dot" w:pos="9298"/>
        </w:tabs>
        <w:kinsoku/>
        <w:wordWrap/>
        <w:overflowPunct/>
        <w:topLinePunct w:val="0"/>
        <w:autoSpaceDE/>
        <w:autoSpaceDN/>
        <w:bidi w:val="0"/>
        <w:adjustRightInd w:val="0"/>
        <w:snapToGrid/>
        <w:spacing w:line="480" w:lineRule="exact"/>
        <w:ind w:firstLine="560"/>
        <w:textAlignment w:val="auto"/>
        <w:rPr>
          <w:rFonts w:hint="eastAsia" w:ascii="Times New Roman" w:hAnsi="Times New Roman" w:eastAsia="仿宋" w:cs="Times New Roman"/>
          <w:color w:val="auto"/>
          <w:sz w:val="24"/>
          <w:szCs w:val="24"/>
          <w:highlight w:val="yellow"/>
          <w:lang w:val="en-US" w:eastAsia="zh-CN" w:bidi="ar-SA"/>
        </w:rPr>
      </w:pPr>
      <w:r>
        <w:rPr>
          <w:rFonts w:hint="eastAsia" w:ascii="Times New Roman" w:hAnsi="Times New Roman" w:eastAsia="仿宋" w:cs="Times New Roman"/>
          <w:color w:val="auto"/>
          <w:sz w:val="24"/>
          <w:szCs w:val="24"/>
          <w:lang w:val="en-US" w:eastAsia="zh-CN" w:bidi="ar-SA"/>
        </w:rPr>
        <w:t>【条文说明】</w:t>
      </w:r>
      <w:r>
        <w:rPr>
          <w:rFonts w:hint="eastAsia" w:ascii="Times New Roman" w:hAnsi="Times New Roman" w:eastAsia="仿宋" w:cs="Times New Roman"/>
          <w:color w:val="auto"/>
          <w:sz w:val="24"/>
          <w:szCs w:val="24"/>
          <w:highlight w:val="none"/>
          <w:lang w:val="en-US" w:eastAsia="zh-CN" w:bidi="ar-SA"/>
        </w:rPr>
        <w:t>该定义参照</w:t>
      </w:r>
      <w:r>
        <w:rPr>
          <w:rFonts w:hint="eastAsia" w:eastAsia="仿宋" w:cs="Times New Roman"/>
          <w:color w:val="auto"/>
          <w:sz w:val="24"/>
          <w:szCs w:val="24"/>
          <w:highlight w:val="none"/>
          <w:lang w:val="en-US" w:eastAsia="zh-CN" w:bidi="ar-SA"/>
        </w:rPr>
        <w:t>团体标准</w:t>
      </w:r>
      <w:r>
        <w:rPr>
          <w:rFonts w:hint="eastAsia" w:ascii="Times New Roman" w:hAnsi="Times New Roman" w:eastAsia="仿宋" w:cs="Times New Roman"/>
          <w:color w:val="auto"/>
          <w:sz w:val="24"/>
          <w:szCs w:val="24"/>
          <w:highlight w:val="none"/>
          <w:lang w:val="en-US" w:eastAsia="zh-CN" w:bidi="ar-SA"/>
        </w:rPr>
        <w:t>《水生生物监测环境DNA宏条形法》（</w:t>
      </w:r>
      <w:r>
        <w:rPr>
          <w:rFonts w:hint="eastAsia" w:eastAsia="仿宋" w:cs="Times New Roman"/>
          <w:color w:val="auto"/>
          <w:sz w:val="24"/>
          <w:szCs w:val="24"/>
          <w:highlight w:val="none"/>
          <w:lang w:val="en-US" w:eastAsia="zh-CN" w:bidi="ar-SA"/>
        </w:rPr>
        <w:t>T/CSES 81—2023</w:t>
      </w:r>
      <w:r>
        <w:rPr>
          <w:rFonts w:hint="eastAsia" w:ascii="Times New Roman" w:hAnsi="Times New Roman" w:eastAsia="仿宋" w:cs="Times New Roman"/>
          <w:color w:val="auto"/>
          <w:sz w:val="24"/>
          <w:szCs w:val="24"/>
          <w:highlight w:val="none"/>
          <w:lang w:val="en-US" w:eastAsia="zh-CN" w:bidi="ar-SA"/>
        </w:rPr>
        <w:t>）中的解释。</w:t>
      </w:r>
    </w:p>
    <w:p w14:paraId="33655385">
      <w:pPr>
        <w:pStyle w:val="15"/>
        <w:keepNext w:val="0"/>
        <w:keepLines w:val="0"/>
        <w:pageBreakBefore w:val="0"/>
        <w:widowControl w:val="0"/>
        <w:tabs>
          <w:tab w:val="center" w:pos="4201"/>
          <w:tab w:val="right" w:leader="dot" w:pos="9298"/>
        </w:tabs>
        <w:kinsoku/>
        <w:wordWrap/>
        <w:overflowPunct/>
        <w:topLinePunct w:val="0"/>
        <w:autoSpaceDE/>
        <w:autoSpaceDN/>
        <w:bidi w:val="0"/>
        <w:adjustRightInd w:val="0"/>
        <w:snapToGrid/>
        <w:spacing w:line="480" w:lineRule="exact"/>
        <w:ind w:firstLine="560"/>
        <w:textAlignment w:val="auto"/>
        <w:rPr>
          <w:rFonts w:hint="eastAsia" w:ascii="Times New Roman" w:hAnsi="Times New Roman" w:eastAsia="仿宋" w:cs="Times New Roman"/>
          <w:color w:val="auto"/>
          <w:sz w:val="24"/>
          <w:szCs w:val="24"/>
          <w:lang w:val="en-US" w:eastAsia="zh-CN" w:bidi="ar-SA"/>
        </w:rPr>
      </w:pPr>
      <w:r>
        <w:rPr>
          <w:rFonts w:hint="eastAsia" w:ascii="Times New Roman" w:hAnsi="Times New Roman" w:eastAsia="仿宋" w:cs="Times New Roman"/>
          <w:color w:val="auto"/>
          <w:sz w:val="24"/>
          <w:szCs w:val="24"/>
          <w:lang w:val="en-US" w:eastAsia="zh-CN" w:bidi="ar-SA"/>
        </w:rPr>
        <w:t>（</w:t>
      </w:r>
      <w:r>
        <w:rPr>
          <w:rFonts w:hint="eastAsia" w:eastAsia="仿宋" w:cs="Times New Roman"/>
          <w:color w:val="auto"/>
          <w:sz w:val="24"/>
          <w:szCs w:val="24"/>
          <w:lang w:val="en-US" w:eastAsia="zh-CN" w:bidi="ar-SA"/>
        </w:rPr>
        <w:t>9</w:t>
      </w:r>
      <w:r>
        <w:rPr>
          <w:rFonts w:hint="eastAsia" w:ascii="Times New Roman" w:hAnsi="Times New Roman" w:eastAsia="仿宋" w:cs="Times New Roman"/>
          <w:color w:val="auto"/>
          <w:sz w:val="24"/>
          <w:szCs w:val="24"/>
          <w:lang w:val="en-US" w:eastAsia="zh-CN" w:bidi="ar-SA"/>
        </w:rPr>
        <w:t>）</w:t>
      </w:r>
      <w:r>
        <w:rPr>
          <w:rFonts w:hint="default" w:ascii="Times New Roman" w:hAnsi="Times New Roman" w:eastAsia="仿宋" w:cs="Times New Roman"/>
          <w:color w:val="auto"/>
          <w:sz w:val="24"/>
          <w:szCs w:val="24"/>
          <w:lang w:val="en-US" w:eastAsia="zh-CN" w:bidi="ar-SA"/>
        </w:rPr>
        <w:t>索引</w:t>
      </w:r>
      <w:r>
        <w:rPr>
          <w:rFonts w:hint="eastAsia" w:ascii="Times New Roman" w:hAnsi="Times New Roman" w:eastAsia="仿宋" w:cs="Times New Roman"/>
          <w:color w:val="auto"/>
          <w:sz w:val="24"/>
          <w:szCs w:val="24"/>
          <w:lang w:val="en-US" w:eastAsia="zh-CN" w:bidi="ar-SA"/>
        </w:rPr>
        <w:t>：指通过PCR或文库准备过程中为每个样品添加一个短序列的核苷酸碱基对，允许多个样品在一个高通量测序运行中被汇集。这个序列对于同一个运行中的每个样本都是不同的，并使序列能够在测序后分配回它们来自的样本。</w:t>
      </w:r>
    </w:p>
    <w:p w14:paraId="382A69A6">
      <w:pPr>
        <w:pStyle w:val="15"/>
        <w:keepNext w:val="0"/>
        <w:keepLines w:val="0"/>
        <w:pageBreakBefore w:val="0"/>
        <w:widowControl w:val="0"/>
        <w:tabs>
          <w:tab w:val="center" w:pos="4201"/>
          <w:tab w:val="right" w:leader="dot" w:pos="9298"/>
        </w:tabs>
        <w:kinsoku/>
        <w:wordWrap/>
        <w:overflowPunct/>
        <w:topLinePunct w:val="0"/>
        <w:autoSpaceDE/>
        <w:autoSpaceDN/>
        <w:bidi w:val="0"/>
        <w:adjustRightInd w:val="0"/>
        <w:snapToGrid/>
        <w:spacing w:line="480" w:lineRule="exact"/>
        <w:ind w:firstLine="560"/>
        <w:textAlignment w:val="auto"/>
        <w:rPr>
          <w:rFonts w:hint="eastAsia" w:ascii="Times New Roman" w:hAnsi="Times New Roman" w:eastAsia="仿宋" w:cs="Times New Roman"/>
          <w:color w:val="auto"/>
          <w:sz w:val="24"/>
          <w:szCs w:val="24"/>
          <w:highlight w:val="yellow"/>
          <w:lang w:val="en-US" w:eastAsia="zh-CN" w:bidi="ar-SA"/>
        </w:rPr>
      </w:pPr>
      <w:r>
        <w:rPr>
          <w:rFonts w:hint="eastAsia" w:ascii="Times New Roman" w:hAnsi="Times New Roman" w:eastAsia="仿宋" w:cs="Times New Roman"/>
          <w:color w:val="auto"/>
          <w:sz w:val="24"/>
          <w:szCs w:val="24"/>
          <w:lang w:val="en-US" w:eastAsia="zh-CN" w:bidi="ar-SA"/>
        </w:rPr>
        <w:t>【条文说明】</w:t>
      </w:r>
      <w:r>
        <w:rPr>
          <w:rFonts w:hint="eastAsia" w:ascii="Times New Roman" w:hAnsi="Times New Roman" w:eastAsia="仿宋" w:cs="Times New Roman"/>
          <w:color w:val="auto"/>
          <w:sz w:val="24"/>
          <w:szCs w:val="24"/>
          <w:highlight w:val="none"/>
          <w:lang w:val="en-US" w:eastAsia="zh-CN" w:bidi="ar-SA"/>
        </w:rPr>
        <w:t>该定义参照</w:t>
      </w:r>
      <w:r>
        <w:rPr>
          <w:rFonts w:hint="eastAsia" w:eastAsia="仿宋" w:cs="Times New Roman"/>
          <w:color w:val="auto"/>
          <w:sz w:val="24"/>
          <w:szCs w:val="24"/>
          <w:highlight w:val="none"/>
          <w:lang w:val="en-US" w:eastAsia="zh-CN" w:bidi="ar-SA"/>
        </w:rPr>
        <w:t>团体标准</w:t>
      </w:r>
      <w:r>
        <w:rPr>
          <w:rFonts w:hint="eastAsia" w:ascii="Times New Roman" w:hAnsi="Times New Roman" w:eastAsia="仿宋" w:cs="Times New Roman"/>
          <w:color w:val="auto"/>
          <w:sz w:val="24"/>
          <w:szCs w:val="24"/>
          <w:highlight w:val="none"/>
          <w:lang w:val="en-US" w:eastAsia="zh-CN" w:bidi="ar-SA"/>
        </w:rPr>
        <w:t>《水生生物监测环境DNA宏条形法》（</w:t>
      </w:r>
      <w:r>
        <w:rPr>
          <w:rFonts w:hint="eastAsia" w:eastAsia="仿宋" w:cs="Times New Roman"/>
          <w:color w:val="auto"/>
          <w:sz w:val="24"/>
          <w:szCs w:val="24"/>
          <w:highlight w:val="none"/>
          <w:lang w:val="en-US" w:eastAsia="zh-CN" w:bidi="ar-SA"/>
        </w:rPr>
        <w:t>T/CSES 81—2023</w:t>
      </w:r>
      <w:r>
        <w:rPr>
          <w:rFonts w:hint="eastAsia" w:ascii="Times New Roman" w:hAnsi="Times New Roman" w:eastAsia="仿宋" w:cs="Times New Roman"/>
          <w:color w:val="auto"/>
          <w:sz w:val="24"/>
          <w:szCs w:val="24"/>
          <w:highlight w:val="none"/>
          <w:lang w:val="en-US" w:eastAsia="zh-CN" w:bidi="ar-SA"/>
        </w:rPr>
        <w:t>）中的解释。</w:t>
      </w:r>
    </w:p>
    <w:p w14:paraId="0CCE2D10">
      <w:pPr>
        <w:pStyle w:val="15"/>
        <w:keepNext w:val="0"/>
        <w:keepLines w:val="0"/>
        <w:pageBreakBefore w:val="0"/>
        <w:widowControl w:val="0"/>
        <w:tabs>
          <w:tab w:val="center" w:pos="4201"/>
          <w:tab w:val="right" w:leader="dot" w:pos="9298"/>
        </w:tabs>
        <w:kinsoku/>
        <w:wordWrap/>
        <w:overflowPunct/>
        <w:topLinePunct w:val="0"/>
        <w:autoSpaceDE/>
        <w:autoSpaceDN/>
        <w:bidi w:val="0"/>
        <w:adjustRightInd w:val="0"/>
        <w:snapToGrid/>
        <w:spacing w:line="480" w:lineRule="exact"/>
        <w:ind w:firstLine="560"/>
        <w:textAlignment w:val="auto"/>
        <w:rPr>
          <w:rFonts w:hint="eastAsia" w:ascii="Times New Roman" w:hAnsi="Times New Roman" w:eastAsia="仿宋" w:cs="Times New Roman"/>
          <w:color w:val="auto"/>
          <w:sz w:val="24"/>
          <w:szCs w:val="24"/>
          <w:lang w:val="en-US" w:eastAsia="zh-CN" w:bidi="ar-SA"/>
        </w:rPr>
      </w:pPr>
      <w:r>
        <w:rPr>
          <w:rFonts w:hint="eastAsia" w:ascii="Times New Roman" w:hAnsi="Times New Roman" w:eastAsia="仿宋" w:cs="Times New Roman"/>
          <w:color w:val="auto"/>
          <w:sz w:val="24"/>
          <w:szCs w:val="24"/>
          <w:lang w:val="en-US" w:eastAsia="zh-CN" w:bidi="ar-SA"/>
        </w:rPr>
        <w:t>（1</w:t>
      </w:r>
      <w:r>
        <w:rPr>
          <w:rFonts w:hint="eastAsia" w:eastAsia="仿宋" w:cs="Times New Roman"/>
          <w:color w:val="auto"/>
          <w:sz w:val="24"/>
          <w:szCs w:val="24"/>
          <w:lang w:val="en-US" w:eastAsia="zh-CN" w:bidi="ar-SA"/>
        </w:rPr>
        <w:t>0</w:t>
      </w:r>
      <w:r>
        <w:rPr>
          <w:rFonts w:hint="eastAsia" w:ascii="Times New Roman" w:hAnsi="Times New Roman" w:eastAsia="仿宋" w:cs="Times New Roman"/>
          <w:color w:val="auto"/>
          <w:sz w:val="24"/>
          <w:szCs w:val="24"/>
          <w:lang w:val="en-US" w:eastAsia="zh-CN" w:bidi="ar-SA"/>
        </w:rPr>
        <w:t>）</w:t>
      </w:r>
      <w:r>
        <w:rPr>
          <w:rFonts w:hint="default" w:ascii="Times New Roman" w:hAnsi="Times New Roman" w:eastAsia="仿宋" w:cs="Times New Roman"/>
          <w:color w:val="auto"/>
          <w:sz w:val="24"/>
          <w:szCs w:val="24"/>
          <w:lang w:val="en-US" w:eastAsia="zh-CN" w:bidi="ar-SA"/>
        </w:rPr>
        <w:t>序列相似性</w:t>
      </w:r>
      <w:r>
        <w:rPr>
          <w:rFonts w:hint="eastAsia" w:ascii="Times New Roman" w:hAnsi="Times New Roman" w:eastAsia="仿宋" w:cs="Times New Roman"/>
          <w:color w:val="auto"/>
          <w:sz w:val="24"/>
          <w:szCs w:val="24"/>
          <w:lang w:val="en-US" w:eastAsia="zh-CN" w:bidi="ar-SA"/>
        </w:rPr>
        <w:t>：指不同序列之间相同DNA碱基或氨基酸残基序列所占的比例。在环境DNA宏条形码分析中，通常基于序列相似性对测序数据进行物种注释。</w:t>
      </w:r>
    </w:p>
    <w:p w14:paraId="1C23780E">
      <w:pPr>
        <w:pStyle w:val="15"/>
        <w:keepNext w:val="0"/>
        <w:keepLines w:val="0"/>
        <w:pageBreakBefore w:val="0"/>
        <w:widowControl w:val="0"/>
        <w:tabs>
          <w:tab w:val="center" w:pos="4201"/>
          <w:tab w:val="right" w:leader="dot" w:pos="9298"/>
        </w:tabs>
        <w:kinsoku/>
        <w:wordWrap/>
        <w:overflowPunct/>
        <w:topLinePunct w:val="0"/>
        <w:autoSpaceDE/>
        <w:autoSpaceDN/>
        <w:bidi w:val="0"/>
        <w:adjustRightInd w:val="0"/>
        <w:snapToGrid/>
        <w:spacing w:line="480" w:lineRule="exact"/>
        <w:ind w:firstLine="560"/>
        <w:textAlignment w:val="auto"/>
        <w:rPr>
          <w:rFonts w:hint="eastAsia" w:ascii="Times New Roman" w:hAnsi="Times New Roman" w:eastAsia="仿宋" w:cs="Times New Roman"/>
          <w:color w:val="auto"/>
          <w:sz w:val="24"/>
          <w:szCs w:val="24"/>
          <w:highlight w:val="yellow"/>
          <w:lang w:val="en-US" w:eastAsia="zh-CN" w:bidi="ar-SA"/>
        </w:rPr>
      </w:pPr>
      <w:r>
        <w:rPr>
          <w:rFonts w:hint="eastAsia" w:ascii="Times New Roman" w:hAnsi="Times New Roman" w:eastAsia="仿宋" w:cs="Times New Roman"/>
          <w:color w:val="auto"/>
          <w:sz w:val="24"/>
          <w:szCs w:val="24"/>
          <w:lang w:val="en-US" w:eastAsia="zh-CN" w:bidi="ar-SA"/>
        </w:rPr>
        <w:t>【条文说明】</w:t>
      </w:r>
      <w:r>
        <w:rPr>
          <w:rFonts w:hint="eastAsia" w:ascii="Times New Roman" w:hAnsi="Times New Roman" w:eastAsia="仿宋" w:cs="Times New Roman"/>
          <w:color w:val="auto"/>
          <w:sz w:val="24"/>
          <w:szCs w:val="24"/>
          <w:highlight w:val="none"/>
          <w:lang w:val="en-US" w:eastAsia="zh-CN" w:bidi="ar-SA"/>
        </w:rPr>
        <w:t>该定义参照</w:t>
      </w:r>
      <w:r>
        <w:rPr>
          <w:rFonts w:hint="eastAsia" w:eastAsia="仿宋" w:cs="Times New Roman"/>
          <w:color w:val="auto"/>
          <w:sz w:val="24"/>
          <w:szCs w:val="24"/>
          <w:highlight w:val="none"/>
          <w:lang w:val="en-US" w:eastAsia="zh-CN" w:bidi="ar-SA"/>
        </w:rPr>
        <w:t>团体标准</w:t>
      </w:r>
      <w:r>
        <w:rPr>
          <w:rFonts w:hint="eastAsia" w:ascii="Times New Roman" w:hAnsi="Times New Roman" w:eastAsia="仿宋" w:cs="Times New Roman"/>
          <w:color w:val="auto"/>
          <w:sz w:val="24"/>
          <w:szCs w:val="24"/>
          <w:highlight w:val="none"/>
          <w:lang w:val="en-US" w:eastAsia="zh-CN" w:bidi="ar-SA"/>
        </w:rPr>
        <w:t>《水生生物监测环境DNA宏条形法》（</w:t>
      </w:r>
      <w:r>
        <w:rPr>
          <w:rFonts w:hint="eastAsia" w:eastAsia="仿宋" w:cs="Times New Roman"/>
          <w:color w:val="auto"/>
          <w:sz w:val="24"/>
          <w:szCs w:val="24"/>
          <w:highlight w:val="none"/>
          <w:lang w:val="en-US" w:eastAsia="zh-CN" w:bidi="ar-SA"/>
        </w:rPr>
        <w:t>T/CSES 81—2023</w:t>
      </w:r>
      <w:r>
        <w:rPr>
          <w:rFonts w:hint="eastAsia" w:ascii="Times New Roman" w:hAnsi="Times New Roman" w:eastAsia="仿宋" w:cs="Times New Roman"/>
          <w:color w:val="auto"/>
          <w:sz w:val="24"/>
          <w:szCs w:val="24"/>
          <w:highlight w:val="none"/>
          <w:lang w:val="en-US" w:eastAsia="zh-CN" w:bidi="ar-SA"/>
        </w:rPr>
        <w:t>）中的解释。</w:t>
      </w:r>
    </w:p>
    <w:p w14:paraId="37F724E8">
      <w:pPr>
        <w:pStyle w:val="15"/>
        <w:keepNext w:val="0"/>
        <w:keepLines w:val="0"/>
        <w:pageBreakBefore w:val="0"/>
        <w:widowControl w:val="0"/>
        <w:tabs>
          <w:tab w:val="center" w:pos="4201"/>
          <w:tab w:val="right" w:leader="dot" w:pos="9298"/>
        </w:tabs>
        <w:kinsoku/>
        <w:wordWrap/>
        <w:overflowPunct/>
        <w:topLinePunct w:val="0"/>
        <w:autoSpaceDE/>
        <w:autoSpaceDN/>
        <w:bidi w:val="0"/>
        <w:adjustRightInd w:val="0"/>
        <w:snapToGrid/>
        <w:spacing w:line="480" w:lineRule="exact"/>
        <w:ind w:firstLine="560"/>
        <w:textAlignment w:val="auto"/>
        <w:rPr>
          <w:rFonts w:hint="eastAsia" w:ascii="Times New Roman" w:hAnsi="Times New Roman" w:eastAsia="仿宋" w:cs="Times New Roman"/>
          <w:color w:val="auto"/>
          <w:sz w:val="24"/>
          <w:szCs w:val="24"/>
          <w:lang w:val="en-US" w:eastAsia="zh-CN" w:bidi="ar-SA"/>
        </w:rPr>
      </w:pPr>
      <w:r>
        <w:rPr>
          <w:rFonts w:hint="eastAsia" w:ascii="Times New Roman" w:hAnsi="Times New Roman" w:eastAsia="仿宋" w:cs="Times New Roman"/>
          <w:color w:val="auto"/>
          <w:sz w:val="24"/>
          <w:szCs w:val="24"/>
          <w:lang w:val="en-US" w:eastAsia="zh-CN" w:bidi="ar-SA"/>
        </w:rPr>
        <w:t>（1</w:t>
      </w:r>
      <w:r>
        <w:rPr>
          <w:rFonts w:hint="eastAsia" w:eastAsia="仿宋" w:cs="Times New Roman"/>
          <w:color w:val="auto"/>
          <w:sz w:val="24"/>
          <w:szCs w:val="24"/>
          <w:lang w:val="en-US" w:eastAsia="zh-CN" w:bidi="ar-SA"/>
        </w:rPr>
        <w:t>1</w:t>
      </w:r>
      <w:r>
        <w:rPr>
          <w:rFonts w:hint="eastAsia" w:ascii="Times New Roman" w:hAnsi="Times New Roman" w:eastAsia="仿宋" w:cs="Times New Roman"/>
          <w:color w:val="auto"/>
          <w:sz w:val="24"/>
          <w:szCs w:val="24"/>
          <w:lang w:val="en-US" w:eastAsia="zh-CN" w:bidi="ar-SA"/>
        </w:rPr>
        <w:t>）</w:t>
      </w:r>
      <w:r>
        <w:rPr>
          <w:rFonts w:hint="default" w:ascii="Times New Roman" w:hAnsi="Times New Roman" w:eastAsia="仿宋" w:cs="Times New Roman"/>
          <w:color w:val="auto"/>
          <w:sz w:val="24"/>
          <w:szCs w:val="24"/>
          <w:lang w:val="en-US" w:eastAsia="zh-CN" w:bidi="ar-SA"/>
        </w:rPr>
        <w:t>序列相似性阈值</w:t>
      </w:r>
      <w:r>
        <w:rPr>
          <w:rFonts w:hint="eastAsia" w:ascii="Times New Roman" w:hAnsi="Times New Roman" w:eastAsia="仿宋" w:cs="Times New Roman"/>
          <w:color w:val="auto"/>
          <w:sz w:val="24"/>
          <w:szCs w:val="24"/>
          <w:lang w:val="en-US" w:eastAsia="zh-CN" w:bidi="ar-SA"/>
        </w:rPr>
        <w:t>：指</w:t>
      </w:r>
      <w:r>
        <w:rPr>
          <w:rFonts w:hint="default" w:ascii="Times New Roman" w:hAnsi="Times New Roman" w:eastAsia="仿宋" w:cs="Times New Roman"/>
          <w:color w:val="auto"/>
          <w:sz w:val="24"/>
          <w:szCs w:val="24"/>
          <w:lang w:val="en-US" w:eastAsia="zh-CN" w:bidi="ar-SA"/>
        </w:rPr>
        <w:t>判定两条核酸序列的相似程度，特定阈值以上碱基相同的序列，可以认定为同一物种</w:t>
      </w:r>
      <w:r>
        <w:rPr>
          <w:rFonts w:hint="eastAsia" w:ascii="Times New Roman" w:hAnsi="Times New Roman" w:eastAsia="仿宋" w:cs="Times New Roman"/>
          <w:color w:val="auto"/>
          <w:sz w:val="24"/>
          <w:szCs w:val="24"/>
          <w:lang w:val="en-US" w:eastAsia="zh-CN" w:bidi="ar-SA"/>
        </w:rPr>
        <w:t>。</w:t>
      </w:r>
    </w:p>
    <w:p w14:paraId="0509391A">
      <w:pPr>
        <w:pStyle w:val="15"/>
        <w:keepNext w:val="0"/>
        <w:keepLines w:val="0"/>
        <w:pageBreakBefore w:val="0"/>
        <w:widowControl w:val="0"/>
        <w:tabs>
          <w:tab w:val="center" w:pos="4201"/>
          <w:tab w:val="right" w:leader="dot" w:pos="9298"/>
        </w:tabs>
        <w:kinsoku/>
        <w:wordWrap/>
        <w:overflowPunct/>
        <w:topLinePunct w:val="0"/>
        <w:autoSpaceDE/>
        <w:autoSpaceDN/>
        <w:bidi w:val="0"/>
        <w:adjustRightInd w:val="0"/>
        <w:snapToGrid/>
        <w:spacing w:line="480" w:lineRule="exact"/>
        <w:ind w:firstLine="560"/>
        <w:textAlignment w:val="auto"/>
        <w:rPr>
          <w:rFonts w:hint="eastAsia" w:ascii="Times New Roman" w:hAnsi="Times New Roman" w:eastAsia="仿宋" w:cs="Times New Roman"/>
          <w:color w:val="auto"/>
          <w:sz w:val="24"/>
          <w:szCs w:val="24"/>
          <w:highlight w:val="yellow"/>
          <w:lang w:val="en-US" w:eastAsia="zh-CN" w:bidi="ar-SA"/>
        </w:rPr>
      </w:pPr>
      <w:r>
        <w:rPr>
          <w:rFonts w:hint="eastAsia" w:ascii="Times New Roman" w:hAnsi="Times New Roman" w:eastAsia="仿宋" w:cs="Times New Roman"/>
          <w:color w:val="auto"/>
          <w:sz w:val="24"/>
          <w:szCs w:val="24"/>
          <w:lang w:val="en-US" w:eastAsia="zh-CN" w:bidi="ar-SA"/>
        </w:rPr>
        <w:t>【条文说明】</w:t>
      </w:r>
      <w:r>
        <w:rPr>
          <w:rFonts w:hint="eastAsia" w:ascii="Times New Roman" w:hAnsi="Times New Roman" w:eastAsia="仿宋" w:cs="Times New Roman"/>
          <w:color w:val="auto"/>
          <w:sz w:val="24"/>
          <w:szCs w:val="24"/>
          <w:highlight w:val="none"/>
          <w:lang w:val="en-US" w:eastAsia="zh-CN" w:bidi="ar-SA"/>
        </w:rPr>
        <w:t>该定义参照</w:t>
      </w:r>
      <w:r>
        <w:rPr>
          <w:rFonts w:hint="eastAsia" w:eastAsia="仿宋" w:cs="Times New Roman"/>
          <w:color w:val="auto"/>
          <w:sz w:val="24"/>
          <w:szCs w:val="24"/>
          <w:highlight w:val="none"/>
          <w:lang w:val="en-US" w:eastAsia="zh-CN" w:bidi="ar-SA"/>
        </w:rPr>
        <w:t>团体标准</w:t>
      </w:r>
      <w:r>
        <w:rPr>
          <w:rFonts w:hint="eastAsia" w:ascii="Times New Roman" w:hAnsi="Times New Roman" w:eastAsia="仿宋" w:cs="Times New Roman"/>
          <w:color w:val="auto"/>
          <w:sz w:val="24"/>
          <w:szCs w:val="24"/>
          <w:highlight w:val="none"/>
          <w:lang w:val="en-US" w:eastAsia="zh-CN" w:bidi="ar-SA"/>
        </w:rPr>
        <w:t>《水生生物监测环境DNA宏条形法》（</w:t>
      </w:r>
      <w:r>
        <w:rPr>
          <w:rFonts w:hint="eastAsia" w:eastAsia="仿宋" w:cs="Times New Roman"/>
          <w:color w:val="auto"/>
          <w:sz w:val="24"/>
          <w:szCs w:val="24"/>
          <w:highlight w:val="none"/>
          <w:lang w:val="en-US" w:eastAsia="zh-CN" w:bidi="ar-SA"/>
        </w:rPr>
        <w:t>T/CSES 81—2023</w:t>
      </w:r>
      <w:r>
        <w:rPr>
          <w:rFonts w:hint="eastAsia" w:ascii="Times New Roman" w:hAnsi="Times New Roman" w:eastAsia="仿宋" w:cs="Times New Roman"/>
          <w:color w:val="auto"/>
          <w:sz w:val="24"/>
          <w:szCs w:val="24"/>
          <w:highlight w:val="none"/>
          <w:lang w:val="en-US" w:eastAsia="zh-CN" w:bidi="ar-SA"/>
        </w:rPr>
        <w:t>）中的解释。</w:t>
      </w:r>
    </w:p>
    <w:p w14:paraId="75BC633F">
      <w:pPr>
        <w:pStyle w:val="15"/>
        <w:keepNext w:val="0"/>
        <w:keepLines w:val="0"/>
        <w:pageBreakBefore w:val="0"/>
        <w:widowControl w:val="0"/>
        <w:numPr>
          <w:ilvl w:val="0"/>
          <w:numId w:val="0"/>
        </w:numPr>
        <w:tabs>
          <w:tab w:val="center" w:pos="4201"/>
          <w:tab w:val="right" w:leader="dot" w:pos="9298"/>
        </w:tabs>
        <w:kinsoku/>
        <w:wordWrap/>
        <w:overflowPunct/>
        <w:topLinePunct w:val="0"/>
        <w:autoSpaceDE/>
        <w:autoSpaceDN/>
        <w:bidi w:val="0"/>
        <w:adjustRightInd w:val="0"/>
        <w:snapToGrid/>
        <w:spacing w:line="480" w:lineRule="exact"/>
        <w:ind w:firstLine="480" w:firstLineChars="200"/>
        <w:textAlignment w:val="auto"/>
        <w:rPr>
          <w:rFonts w:hint="eastAsia" w:ascii="Times New Roman" w:hAnsi="Times New Roman" w:eastAsia="仿宋" w:cs="Times New Roman"/>
          <w:color w:val="auto"/>
          <w:sz w:val="24"/>
          <w:szCs w:val="24"/>
          <w:lang w:val="en-US" w:eastAsia="zh-CN" w:bidi="ar-SA"/>
        </w:rPr>
      </w:pPr>
      <w:r>
        <w:rPr>
          <w:rFonts w:hint="eastAsia" w:eastAsia="仿宋" w:cs="Times New Roman"/>
          <w:color w:val="auto"/>
          <w:sz w:val="24"/>
          <w:szCs w:val="24"/>
          <w:lang w:val="en-US" w:eastAsia="zh-CN" w:bidi="ar-SA"/>
        </w:rPr>
        <w:t>（12）</w:t>
      </w:r>
      <w:r>
        <w:rPr>
          <w:rFonts w:hint="default" w:ascii="Times New Roman" w:hAnsi="Times New Roman" w:eastAsia="仿宋" w:cs="Times New Roman"/>
          <w:color w:val="auto"/>
          <w:sz w:val="24"/>
          <w:szCs w:val="24"/>
          <w:lang w:val="en-US" w:eastAsia="zh-CN" w:bidi="ar-SA"/>
        </w:rPr>
        <w:t>扩增序列变体</w:t>
      </w:r>
      <w:r>
        <w:rPr>
          <w:rFonts w:hint="eastAsia" w:ascii="Times New Roman" w:hAnsi="Times New Roman" w:eastAsia="仿宋" w:cs="Times New Roman"/>
          <w:color w:val="auto"/>
          <w:sz w:val="24"/>
          <w:szCs w:val="24"/>
          <w:lang w:val="en-US" w:eastAsia="zh-CN" w:bidi="ar-SA"/>
        </w:rPr>
        <w:t>：指DNA宏条形码技术中，通过生物信息学剔除PCR扩增和测序产生的错误序列后形成的独特DNA序列，即每条序列至少有一个碱基不相同，可以根据ASV的序列差异进行物种鉴定。</w:t>
      </w:r>
    </w:p>
    <w:p w14:paraId="2250F709">
      <w:pPr>
        <w:pStyle w:val="15"/>
        <w:keepNext w:val="0"/>
        <w:keepLines w:val="0"/>
        <w:pageBreakBefore w:val="0"/>
        <w:widowControl w:val="0"/>
        <w:tabs>
          <w:tab w:val="center" w:pos="4201"/>
          <w:tab w:val="right" w:leader="dot" w:pos="9298"/>
        </w:tabs>
        <w:kinsoku/>
        <w:wordWrap/>
        <w:overflowPunct/>
        <w:topLinePunct w:val="0"/>
        <w:autoSpaceDE/>
        <w:autoSpaceDN/>
        <w:bidi w:val="0"/>
        <w:adjustRightInd w:val="0"/>
        <w:snapToGrid/>
        <w:spacing w:line="480" w:lineRule="exact"/>
        <w:ind w:firstLine="560"/>
        <w:textAlignment w:val="auto"/>
        <w:rPr>
          <w:rFonts w:hint="eastAsia" w:ascii="Times New Roman" w:hAnsi="Times New Roman" w:eastAsia="仿宋" w:cs="Times New Roman"/>
          <w:color w:val="auto"/>
          <w:sz w:val="24"/>
          <w:szCs w:val="24"/>
          <w:lang w:val="en-US" w:eastAsia="zh-CN" w:bidi="ar-SA"/>
        </w:rPr>
      </w:pPr>
      <w:r>
        <w:rPr>
          <w:rFonts w:hint="eastAsia" w:ascii="Times New Roman" w:hAnsi="Times New Roman" w:eastAsia="仿宋" w:cs="Times New Roman"/>
          <w:color w:val="auto"/>
          <w:sz w:val="24"/>
          <w:szCs w:val="24"/>
          <w:lang w:val="en-US" w:eastAsia="zh-CN" w:bidi="ar-SA"/>
        </w:rPr>
        <w:t>【条文说明】瑞士环境联邦蜀发布的指南《Environmental DNA applications in biomonitoring and bioassessment of aquatic ecosystems》中定义ASV为去除PCR扩增测序过程中产生的假序列后，高通量扩增测序产生的独特DNA序列。</w:t>
      </w:r>
    </w:p>
    <w:p w14:paraId="32F961F3">
      <w:pPr>
        <w:pStyle w:val="15"/>
        <w:keepNext w:val="0"/>
        <w:keepLines w:val="0"/>
        <w:pageBreakBefore w:val="0"/>
        <w:widowControl w:val="0"/>
        <w:numPr>
          <w:ilvl w:val="0"/>
          <w:numId w:val="0"/>
        </w:numPr>
        <w:tabs>
          <w:tab w:val="center" w:pos="4201"/>
          <w:tab w:val="right" w:leader="dot" w:pos="9298"/>
        </w:tabs>
        <w:kinsoku/>
        <w:wordWrap/>
        <w:overflowPunct/>
        <w:topLinePunct w:val="0"/>
        <w:autoSpaceDE/>
        <w:autoSpaceDN/>
        <w:bidi w:val="0"/>
        <w:adjustRightInd w:val="0"/>
        <w:snapToGrid/>
        <w:spacing w:line="480" w:lineRule="exact"/>
        <w:ind w:firstLine="480" w:firstLineChars="200"/>
        <w:textAlignment w:val="auto"/>
        <w:rPr>
          <w:rFonts w:hint="default" w:ascii="Times New Roman" w:hAnsi="Times New Roman" w:eastAsia="仿宋" w:cs="Times New Roman"/>
          <w:color w:val="auto"/>
          <w:sz w:val="24"/>
          <w:szCs w:val="24"/>
          <w:lang w:val="en-US" w:eastAsia="zh-CN" w:bidi="ar-SA"/>
        </w:rPr>
      </w:pPr>
      <w:r>
        <w:rPr>
          <w:rFonts w:hint="eastAsia" w:eastAsia="仿宋" w:cs="Times New Roman"/>
          <w:color w:val="auto"/>
          <w:sz w:val="24"/>
          <w:szCs w:val="24"/>
          <w:lang w:val="en-US" w:eastAsia="zh-CN" w:bidi="ar-SA"/>
        </w:rPr>
        <w:t>（13）</w:t>
      </w:r>
      <w:r>
        <w:rPr>
          <w:rFonts w:hint="default" w:ascii="Times New Roman" w:hAnsi="Times New Roman" w:eastAsia="仿宋" w:cs="Times New Roman"/>
          <w:color w:val="auto"/>
          <w:sz w:val="24"/>
          <w:szCs w:val="24"/>
          <w:lang w:val="en-US" w:eastAsia="zh-CN" w:bidi="ar-SA"/>
        </w:rPr>
        <w:t>操作分类单元</w:t>
      </w:r>
      <w:r>
        <w:rPr>
          <w:rFonts w:hint="eastAsia" w:ascii="Times New Roman" w:hAnsi="Times New Roman" w:eastAsia="仿宋" w:cs="Times New Roman"/>
          <w:color w:val="auto"/>
          <w:sz w:val="24"/>
          <w:szCs w:val="24"/>
          <w:lang w:val="en-US" w:eastAsia="zh-CN" w:bidi="ar-SA"/>
        </w:rPr>
        <w:t>：指</w:t>
      </w:r>
      <w:r>
        <w:rPr>
          <w:rFonts w:hint="default" w:ascii="Times New Roman" w:hAnsi="Times New Roman" w:eastAsia="仿宋" w:cs="Times New Roman"/>
          <w:color w:val="auto"/>
          <w:sz w:val="24"/>
          <w:szCs w:val="24"/>
          <w:lang w:val="en-US" w:eastAsia="zh-CN" w:bidi="ar-SA"/>
        </w:rPr>
        <w:t>DNA宏条形码测序数据按照一定的序列相似性阈值进行聚类，获得的用于表征物种的分子水平的分类单元。</w:t>
      </w:r>
    </w:p>
    <w:p w14:paraId="178E3FC8">
      <w:pPr>
        <w:pStyle w:val="15"/>
        <w:keepNext w:val="0"/>
        <w:keepLines w:val="0"/>
        <w:pageBreakBefore w:val="0"/>
        <w:widowControl w:val="0"/>
        <w:numPr>
          <w:ilvl w:val="0"/>
          <w:numId w:val="0"/>
        </w:numPr>
        <w:tabs>
          <w:tab w:val="center" w:pos="4201"/>
          <w:tab w:val="right" w:leader="dot" w:pos="9298"/>
        </w:tabs>
        <w:kinsoku/>
        <w:wordWrap/>
        <w:overflowPunct/>
        <w:topLinePunct w:val="0"/>
        <w:autoSpaceDE/>
        <w:autoSpaceDN/>
        <w:bidi w:val="0"/>
        <w:adjustRightInd w:val="0"/>
        <w:snapToGrid/>
        <w:spacing w:line="480" w:lineRule="exact"/>
        <w:ind w:firstLine="480" w:firstLineChars="200"/>
        <w:textAlignment w:val="auto"/>
        <w:rPr>
          <w:rFonts w:hint="eastAsia" w:ascii="Times New Roman" w:hAnsi="Times New Roman" w:eastAsia="仿宋" w:cs="Times New Roman"/>
          <w:color w:val="auto"/>
          <w:sz w:val="24"/>
          <w:szCs w:val="24"/>
          <w:lang w:val="en-US" w:eastAsia="zh-CN" w:bidi="ar-SA"/>
        </w:rPr>
      </w:pPr>
      <w:r>
        <w:rPr>
          <w:rFonts w:hint="eastAsia" w:ascii="Times New Roman" w:hAnsi="Times New Roman" w:eastAsia="仿宋" w:cs="Times New Roman"/>
          <w:color w:val="auto"/>
          <w:sz w:val="24"/>
          <w:szCs w:val="24"/>
          <w:lang w:val="en-US" w:eastAsia="zh-CN" w:bidi="ar-SA"/>
        </w:rPr>
        <w:t>【条文说明】瑞士环境联邦蜀发布的指南《Environmental DNA applications in biomonitoring and bioassessment of aquatic ecosystems》中定义OTU为按照相似性聚类获得的一组序列，用于代表分子水平的分类单元。欧洲科技合作机构发布的指南《A practical guide to DNA-based methods for biodiversity assessment》中定义OTU为将DNA宏条形码数据按照一定的序列相似性阈值进行聚类获得的用于代表物种的分子水平的分类单元。</w:t>
      </w:r>
    </w:p>
    <w:p w14:paraId="59F11C9D">
      <w:pPr>
        <w:pStyle w:val="15"/>
        <w:keepNext w:val="0"/>
        <w:keepLines w:val="0"/>
        <w:pageBreakBefore w:val="0"/>
        <w:widowControl w:val="0"/>
        <w:numPr>
          <w:ilvl w:val="0"/>
          <w:numId w:val="0"/>
        </w:numPr>
        <w:tabs>
          <w:tab w:val="center" w:pos="4201"/>
          <w:tab w:val="right" w:leader="dot" w:pos="9298"/>
        </w:tabs>
        <w:kinsoku/>
        <w:wordWrap/>
        <w:overflowPunct/>
        <w:topLinePunct w:val="0"/>
        <w:autoSpaceDE/>
        <w:autoSpaceDN/>
        <w:bidi w:val="0"/>
        <w:adjustRightInd w:val="0"/>
        <w:snapToGrid/>
        <w:spacing w:line="480" w:lineRule="exact"/>
        <w:ind w:firstLine="480" w:firstLineChars="200"/>
        <w:textAlignment w:val="auto"/>
        <w:rPr>
          <w:rFonts w:hint="eastAsia" w:cs="Times New Roman"/>
          <w:color w:val="auto"/>
          <w:sz w:val="21"/>
          <w:szCs w:val="21"/>
          <w:lang w:eastAsia="zh-CN"/>
        </w:rPr>
      </w:pPr>
      <w:r>
        <w:rPr>
          <w:rFonts w:hint="eastAsia" w:eastAsia="仿宋" w:cs="Times New Roman"/>
          <w:color w:val="auto"/>
          <w:sz w:val="24"/>
          <w:szCs w:val="24"/>
          <w:lang w:val="en-US" w:eastAsia="zh-CN" w:bidi="ar-SA"/>
        </w:rPr>
        <w:t>（14）</w:t>
      </w:r>
      <w:r>
        <w:rPr>
          <w:rFonts w:hint="default" w:ascii="Times New Roman" w:hAnsi="Times New Roman" w:eastAsia="仿宋" w:cs="Times New Roman"/>
          <w:color w:val="auto"/>
          <w:sz w:val="24"/>
          <w:szCs w:val="24"/>
          <w:lang w:val="en-US" w:eastAsia="zh-CN" w:bidi="ar-SA"/>
        </w:rPr>
        <w:t>嵌合体</w:t>
      </w:r>
      <w:r>
        <w:rPr>
          <w:rFonts w:hint="eastAsia" w:ascii="Times New Roman" w:hAnsi="Times New Roman" w:eastAsia="仿宋" w:cs="Times New Roman"/>
          <w:color w:val="auto"/>
          <w:sz w:val="24"/>
          <w:szCs w:val="24"/>
          <w:lang w:val="en-US" w:eastAsia="zh-CN" w:bidi="ar-SA"/>
        </w:rPr>
        <w:t>：指在PCR扩增的延伸步骤中由两种或更多种序列组合生成的错误序列。</w:t>
      </w:r>
    </w:p>
    <w:p w14:paraId="6F883A31">
      <w:pPr>
        <w:ind w:firstLine="420"/>
        <w:rPr>
          <w:rFonts w:hint="eastAsia" w:ascii="Times New Roman" w:hAnsi="Times New Roman" w:eastAsia="仿宋" w:cs="Times New Roman"/>
          <w:color w:val="auto"/>
          <w:sz w:val="24"/>
          <w:szCs w:val="24"/>
          <w:lang w:val="en-US" w:eastAsia="zh-CN" w:bidi="ar-SA"/>
        </w:rPr>
      </w:pPr>
      <w:r>
        <w:rPr>
          <w:rFonts w:hint="eastAsia" w:ascii="Times New Roman" w:hAnsi="Times New Roman" w:eastAsia="仿宋" w:cs="Times New Roman"/>
          <w:color w:val="auto"/>
          <w:sz w:val="24"/>
          <w:szCs w:val="24"/>
          <w:lang w:val="en-US" w:eastAsia="zh-CN" w:bidi="ar-SA"/>
        </w:rPr>
        <w:t>【条文说明】瑞士环境联邦蜀发布的指南《Environmental DNA applications in biomonitoring and bioassessment of aquatic ecosystems》中定义嵌合体为在PCR扩增过程中结合不同来源的DNA片段形成的人工序列。</w:t>
      </w:r>
    </w:p>
    <w:p w14:paraId="69E73426">
      <w:pPr>
        <w:ind w:firstLine="420"/>
        <w:rPr>
          <w:rFonts w:hint="default" w:ascii="Times New Roman" w:hAnsi="Times New Roman" w:eastAsia="仿宋" w:cs="Times New Roman"/>
          <w:color w:val="auto"/>
          <w:sz w:val="24"/>
          <w:szCs w:val="24"/>
          <w:lang w:val="en-US" w:eastAsia="zh-CN" w:bidi="ar-SA"/>
        </w:rPr>
      </w:pPr>
      <w:r>
        <w:rPr>
          <w:rFonts w:hint="eastAsia" w:eastAsia="仿宋" w:cs="Times New Roman"/>
          <w:color w:val="auto"/>
          <w:sz w:val="24"/>
          <w:szCs w:val="24"/>
          <w:lang w:val="en-US" w:eastAsia="zh-CN" w:bidi="ar-SA"/>
        </w:rPr>
        <w:t>（15）</w:t>
      </w:r>
      <w:r>
        <w:rPr>
          <w:rFonts w:hint="default" w:ascii="Times New Roman" w:hAnsi="Times New Roman" w:eastAsia="仿宋" w:cs="Times New Roman"/>
          <w:color w:val="auto"/>
          <w:sz w:val="24"/>
          <w:szCs w:val="24"/>
          <w:lang w:val="en-US" w:eastAsia="zh-CN" w:bidi="ar-SA"/>
        </w:rPr>
        <w:t>检出率</w:t>
      </w:r>
      <w:r>
        <w:rPr>
          <w:rFonts w:hint="eastAsia" w:ascii="Times New Roman" w:hAnsi="Times New Roman" w:eastAsia="仿宋" w:cs="Times New Roman"/>
          <w:color w:val="auto"/>
          <w:sz w:val="24"/>
          <w:szCs w:val="24"/>
          <w:lang w:val="en-US" w:eastAsia="zh-CN" w:bidi="ar-SA"/>
        </w:rPr>
        <w:t>：指</w:t>
      </w:r>
      <w:r>
        <w:rPr>
          <w:rFonts w:hint="default" w:ascii="Times New Roman" w:hAnsi="Times New Roman" w:eastAsia="仿宋" w:cs="Times New Roman"/>
          <w:color w:val="auto"/>
          <w:sz w:val="24"/>
          <w:szCs w:val="24"/>
          <w:lang w:val="en-US" w:eastAsia="zh-CN" w:bidi="ar-SA"/>
        </w:rPr>
        <w:t>特定物种检出的样品数除以总样品数。</w:t>
      </w:r>
    </w:p>
    <w:p w14:paraId="01EDDF28">
      <w:pPr>
        <w:pStyle w:val="15"/>
        <w:keepNext w:val="0"/>
        <w:keepLines w:val="0"/>
        <w:pageBreakBefore w:val="0"/>
        <w:widowControl w:val="0"/>
        <w:tabs>
          <w:tab w:val="center" w:pos="4201"/>
          <w:tab w:val="right" w:leader="dot" w:pos="9298"/>
        </w:tabs>
        <w:kinsoku/>
        <w:wordWrap/>
        <w:overflowPunct/>
        <w:topLinePunct w:val="0"/>
        <w:autoSpaceDE/>
        <w:autoSpaceDN/>
        <w:bidi w:val="0"/>
        <w:adjustRightInd w:val="0"/>
        <w:snapToGrid/>
        <w:spacing w:line="480" w:lineRule="exact"/>
        <w:ind w:firstLine="560"/>
        <w:textAlignment w:val="auto"/>
        <w:rPr>
          <w:rFonts w:hint="eastAsia" w:ascii="Times New Roman" w:hAnsi="Times New Roman" w:eastAsia="仿宋" w:cs="Times New Roman"/>
          <w:color w:val="auto"/>
          <w:sz w:val="24"/>
          <w:szCs w:val="24"/>
          <w:highlight w:val="yellow"/>
          <w:lang w:val="en-US" w:eastAsia="zh-CN" w:bidi="ar-SA"/>
        </w:rPr>
      </w:pPr>
      <w:r>
        <w:rPr>
          <w:rFonts w:hint="eastAsia" w:ascii="Times New Roman" w:hAnsi="Times New Roman" w:eastAsia="仿宋" w:cs="Times New Roman"/>
          <w:color w:val="auto"/>
          <w:sz w:val="24"/>
          <w:szCs w:val="24"/>
          <w:lang w:val="en-US" w:eastAsia="zh-CN" w:bidi="ar-SA"/>
        </w:rPr>
        <w:t>【条文说明】</w:t>
      </w:r>
      <w:r>
        <w:rPr>
          <w:rFonts w:hint="eastAsia" w:ascii="Times New Roman" w:hAnsi="Times New Roman" w:eastAsia="仿宋" w:cs="Times New Roman"/>
          <w:color w:val="auto"/>
          <w:sz w:val="24"/>
          <w:szCs w:val="24"/>
          <w:highlight w:val="none"/>
          <w:lang w:val="en-US" w:eastAsia="zh-CN" w:bidi="ar-SA"/>
        </w:rPr>
        <w:t>该定义参照</w:t>
      </w:r>
      <w:r>
        <w:rPr>
          <w:rFonts w:hint="eastAsia" w:eastAsia="仿宋" w:cs="Times New Roman"/>
          <w:color w:val="auto"/>
          <w:sz w:val="24"/>
          <w:szCs w:val="24"/>
          <w:highlight w:val="none"/>
          <w:lang w:val="en-US" w:eastAsia="zh-CN" w:bidi="ar-SA"/>
        </w:rPr>
        <w:t>团体标准</w:t>
      </w:r>
      <w:r>
        <w:rPr>
          <w:rFonts w:hint="eastAsia" w:ascii="Times New Roman" w:hAnsi="Times New Roman" w:eastAsia="仿宋" w:cs="Times New Roman"/>
          <w:color w:val="auto"/>
          <w:sz w:val="24"/>
          <w:szCs w:val="24"/>
          <w:highlight w:val="none"/>
          <w:lang w:val="en-US" w:eastAsia="zh-CN" w:bidi="ar-SA"/>
        </w:rPr>
        <w:t>《水生生物监测环境DNA宏条形法》（</w:t>
      </w:r>
      <w:r>
        <w:rPr>
          <w:rFonts w:hint="eastAsia" w:eastAsia="仿宋" w:cs="Times New Roman"/>
          <w:color w:val="auto"/>
          <w:sz w:val="24"/>
          <w:szCs w:val="24"/>
          <w:highlight w:val="none"/>
          <w:lang w:val="en-US" w:eastAsia="zh-CN" w:bidi="ar-SA"/>
        </w:rPr>
        <w:t>T/CSES 81—2023</w:t>
      </w:r>
      <w:r>
        <w:rPr>
          <w:rFonts w:hint="eastAsia" w:ascii="Times New Roman" w:hAnsi="Times New Roman" w:eastAsia="仿宋" w:cs="Times New Roman"/>
          <w:color w:val="auto"/>
          <w:sz w:val="24"/>
          <w:szCs w:val="24"/>
          <w:highlight w:val="none"/>
          <w:lang w:val="en-US" w:eastAsia="zh-CN" w:bidi="ar-SA"/>
        </w:rPr>
        <w:t>）中的解释。</w:t>
      </w:r>
    </w:p>
    <w:p w14:paraId="76C67323">
      <w:pPr>
        <w:pStyle w:val="15"/>
        <w:keepNext w:val="0"/>
        <w:keepLines w:val="0"/>
        <w:pageBreakBefore w:val="0"/>
        <w:widowControl w:val="0"/>
        <w:numPr>
          <w:ilvl w:val="0"/>
          <w:numId w:val="0"/>
        </w:numPr>
        <w:tabs>
          <w:tab w:val="center" w:pos="4201"/>
          <w:tab w:val="right" w:leader="dot" w:pos="9298"/>
        </w:tabs>
        <w:kinsoku/>
        <w:wordWrap/>
        <w:overflowPunct/>
        <w:topLinePunct w:val="0"/>
        <w:autoSpaceDE/>
        <w:autoSpaceDN/>
        <w:bidi w:val="0"/>
        <w:adjustRightInd w:val="0"/>
        <w:snapToGrid/>
        <w:spacing w:line="480" w:lineRule="exact"/>
        <w:ind w:firstLine="480" w:firstLineChars="200"/>
        <w:textAlignment w:val="auto"/>
        <w:rPr>
          <w:rFonts w:hint="eastAsia" w:ascii="Times New Roman" w:hAnsi="Times New Roman" w:eastAsia="仿宋" w:cs="Times New Roman"/>
          <w:color w:val="auto"/>
          <w:sz w:val="24"/>
          <w:szCs w:val="24"/>
          <w:lang w:val="en-US" w:eastAsia="zh-CN" w:bidi="ar-SA"/>
        </w:rPr>
      </w:pPr>
      <w:r>
        <w:rPr>
          <w:rFonts w:hint="eastAsia" w:eastAsia="仿宋" w:cs="Times New Roman"/>
          <w:color w:val="auto"/>
          <w:sz w:val="24"/>
          <w:szCs w:val="24"/>
          <w:lang w:val="en-US" w:eastAsia="zh-CN" w:bidi="ar-SA"/>
        </w:rPr>
        <w:t>（16）</w:t>
      </w:r>
      <w:r>
        <w:rPr>
          <w:rFonts w:hint="default" w:ascii="Times New Roman" w:hAnsi="Times New Roman" w:eastAsia="仿宋" w:cs="Times New Roman"/>
          <w:color w:val="auto"/>
          <w:sz w:val="24"/>
          <w:szCs w:val="24"/>
          <w:lang w:val="en-US" w:eastAsia="zh-CN" w:bidi="ar-SA"/>
        </w:rPr>
        <w:t>相对丰度</w:t>
      </w:r>
      <w:r>
        <w:rPr>
          <w:rFonts w:hint="eastAsia" w:ascii="Times New Roman" w:hAnsi="Times New Roman" w:eastAsia="仿宋" w:cs="Times New Roman"/>
          <w:color w:val="auto"/>
          <w:sz w:val="24"/>
          <w:szCs w:val="24"/>
          <w:lang w:val="en-US" w:eastAsia="zh-CN" w:bidi="ar-SA"/>
        </w:rPr>
        <w:t>：指样品中分配到某一分类单元的序列数占该样品序列总数的比例。</w:t>
      </w:r>
    </w:p>
    <w:p w14:paraId="53F500A5">
      <w:pPr>
        <w:pStyle w:val="15"/>
        <w:keepNext w:val="0"/>
        <w:keepLines w:val="0"/>
        <w:pageBreakBefore w:val="0"/>
        <w:widowControl w:val="0"/>
        <w:tabs>
          <w:tab w:val="center" w:pos="4201"/>
          <w:tab w:val="right" w:leader="dot" w:pos="9298"/>
        </w:tabs>
        <w:kinsoku/>
        <w:wordWrap/>
        <w:overflowPunct/>
        <w:topLinePunct w:val="0"/>
        <w:autoSpaceDE/>
        <w:autoSpaceDN/>
        <w:bidi w:val="0"/>
        <w:adjustRightInd w:val="0"/>
        <w:snapToGrid/>
        <w:spacing w:line="480" w:lineRule="exact"/>
        <w:ind w:firstLine="560"/>
        <w:textAlignment w:val="auto"/>
        <w:rPr>
          <w:rFonts w:hint="eastAsia" w:ascii="Times New Roman" w:hAnsi="Times New Roman" w:eastAsia="仿宋" w:cs="Times New Roman"/>
          <w:color w:val="auto"/>
          <w:sz w:val="24"/>
          <w:szCs w:val="24"/>
          <w:highlight w:val="yellow"/>
          <w:lang w:val="en-US" w:eastAsia="zh-CN" w:bidi="ar-SA"/>
        </w:rPr>
      </w:pPr>
      <w:r>
        <w:rPr>
          <w:rFonts w:hint="eastAsia" w:ascii="Times New Roman" w:hAnsi="Times New Roman" w:eastAsia="仿宋" w:cs="Times New Roman"/>
          <w:color w:val="auto"/>
          <w:sz w:val="24"/>
          <w:szCs w:val="24"/>
          <w:lang w:val="en-US" w:eastAsia="zh-CN" w:bidi="ar-SA"/>
        </w:rPr>
        <w:t>【条文说明】</w:t>
      </w:r>
      <w:r>
        <w:rPr>
          <w:rFonts w:hint="eastAsia" w:ascii="Times New Roman" w:hAnsi="Times New Roman" w:eastAsia="仿宋" w:cs="Times New Roman"/>
          <w:color w:val="auto"/>
          <w:sz w:val="24"/>
          <w:szCs w:val="24"/>
          <w:highlight w:val="none"/>
          <w:lang w:val="en-US" w:eastAsia="zh-CN" w:bidi="ar-SA"/>
        </w:rPr>
        <w:t>该定义参照</w:t>
      </w:r>
      <w:r>
        <w:rPr>
          <w:rFonts w:hint="eastAsia" w:eastAsia="仿宋" w:cs="Times New Roman"/>
          <w:color w:val="auto"/>
          <w:sz w:val="24"/>
          <w:szCs w:val="24"/>
          <w:highlight w:val="none"/>
          <w:lang w:val="en-US" w:eastAsia="zh-CN" w:bidi="ar-SA"/>
        </w:rPr>
        <w:t>团体标准</w:t>
      </w:r>
      <w:r>
        <w:rPr>
          <w:rFonts w:hint="eastAsia" w:ascii="Times New Roman" w:hAnsi="Times New Roman" w:eastAsia="仿宋" w:cs="Times New Roman"/>
          <w:color w:val="auto"/>
          <w:sz w:val="24"/>
          <w:szCs w:val="24"/>
          <w:highlight w:val="none"/>
          <w:lang w:val="en-US" w:eastAsia="zh-CN" w:bidi="ar-SA"/>
        </w:rPr>
        <w:t>《水生生物监测环境DNA宏条形法》（</w:t>
      </w:r>
      <w:r>
        <w:rPr>
          <w:rFonts w:hint="eastAsia" w:eastAsia="仿宋" w:cs="Times New Roman"/>
          <w:color w:val="auto"/>
          <w:sz w:val="24"/>
          <w:szCs w:val="24"/>
          <w:highlight w:val="none"/>
          <w:lang w:val="en-US" w:eastAsia="zh-CN" w:bidi="ar-SA"/>
        </w:rPr>
        <w:t>T/CSES 81—2023</w:t>
      </w:r>
      <w:r>
        <w:rPr>
          <w:rFonts w:hint="eastAsia" w:ascii="Times New Roman" w:hAnsi="Times New Roman" w:eastAsia="仿宋" w:cs="Times New Roman"/>
          <w:color w:val="auto"/>
          <w:sz w:val="24"/>
          <w:szCs w:val="24"/>
          <w:highlight w:val="none"/>
          <w:lang w:val="en-US" w:eastAsia="zh-CN" w:bidi="ar-SA"/>
        </w:rPr>
        <w:t>）中的解释。</w:t>
      </w:r>
    </w:p>
    <w:p w14:paraId="102FBD17">
      <w:pPr>
        <w:pStyle w:val="15"/>
        <w:keepNext w:val="0"/>
        <w:keepLines w:val="0"/>
        <w:pageBreakBefore w:val="0"/>
        <w:widowControl w:val="0"/>
        <w:numPr>
          <w:ilvl w:val="0"/>
          <w:numId w:val="0"/>
        </w:numPr>
        <w:tabs>
          <w:tab w:val="center" w:pos="4201"/>
          <w:tab w:val="right" w:leader="dot" w:pos="9298"/>
        </w:tabs>
        <w:kinsoku/>
        <w:wordWrap/>
        <w:overflowPunct/>
        <w:topLinePunct w:val="0"/>
        <w:autoSpaceDE/>
        <w:autoSpaceDN/>
        <w:bidi w:val="0"/>
        <w:adjustRightInd w:val="0"/>
        <w:snapToGrid/>
        <w:spacing w:line="480" w:lineRule="exact"/>
        <w:ind w:firstLine="480" w:firstLineChars="200"/>
        <w:textAlignment w:val="auto"/>
        <w:rPr>
          <w:rFonts w:hint="eastAsia" w:cs="Times New Roman"/>
          <w:color w:val="auto"/>
          <w:sz w:val="21"/>
          <w:szCs w:val="21"/>
          <w:lang w:eastAsia="zh-CN"/>
        </w:rPr>
      </w:pPr>
      <w:r>
        <w:rPr>
          <w:rFonts w:hint="eastAsia" w:eastAsia="仿宋" w:cs="Times New Roman"/>
          <w:color w:val="auto"/>
          <w:sz w:val="24"/>
          <w:szCs w:val="24"/>
          <w:lang w:val="en-US" w:eastAsia="zh-CN" w:bidi="ar-SA"/>
        </w:rPr>
        <w:t>（17）</w:t>
      </w:r>
      <w:r>
        <w:rPr>
          <w:rFonts w:hint="default" w:ascii="Times New Roman" w:hAnsi="Times New Roman" w:eastAsia="仿宋" w:cs="Times New Roman"/>
          <w:color w:val="auto"/>
          <w:sz w:val="24"/>
          <w:szCs w:val="24"/>
          <w:lang w:val="en-US" w:eastAsia="zh-CN" w:bidi="ar-SA"/>
        </w:rPr>
        <w:t>阴性质控样本</w:t>
      </w:r>
      <w:r>
        <w:rPr>
          <w:rFonts w:hint="eastAsia" w:ascii="Times New Roman" w:hAnsi="Times New Roman" w:eastAsia="仿宋" w:cs="Times New Roman"/>
          <w:color w:val="auto"/>
          <w:sz w:val="24"/>
          <w:szCs w:val="24"/>
          <w:lang w:val="en-US" w:eastAsia="zh-CN" w:bidi="ar-SA"/>
        </w:rPr>
        <w:t>：指确定不含特定物种或者所有物种的样本（例如无菌水），与待测样本同步实验，用于判断待测样本是否被污染。</w:t>
      </w:r>
    </w:p>
    <w:p w14:paraId="3E5D3F3E">
      <w:pPr>
        <w:pStyle w:val="15"/>
        <w:keepNext w:val="0"/>
        <w:keepLines w:val="0"/>
        <w:pageBreakBefore w:val="0"/>
        <w:widowControl w:val="0"/>
        <w:tabs>
          <w:tab w:val="center" w:pos="4201"/>
          <w:tab w:val="right" w:leader="dot" w:pos="9298"/>
        </w:tabs>
        <w:kinsoku/>
        <w:wordWrap/>
        <w:overflowPunct/>
        <w:topLinePunct w:val="0"/>
        <w:autoSpaceDE/>
        <w:autoSpaceDN/>
        <w:bidi w:val="0"/>
        <w:adjustRightInd w:val="0"/>
        <w:snapToGrid/>
        <w:spacing w:line="480" w:lineRule="exact"/>
        <w:ind w:firstLine="560"/>
        <w:textAlignment w:val="auto"/>
        <w:rPr>
          <w:rFonts w:hint="eastAsia" w:ascii="Times New Roman" w:hAnsi="Times New Roman" w:eastAsia="仿宋" w:cs="Times New Roman"/>
          <w:color w:val="auto"/>
          <w:sz w:val="24"/>
          <w:szCs w:val="24"/>
          <w:highlight w:val="yellow"/>
          <w:lang w:val="en-US" w:eastAsia="zh-CN" w:bidi="ar-SA"/>
        </w:rPr>
      </w:pPr>
      <w:r>
        <w:rPr>
          <w:rFonts w:hint="eastAsia" w:ascii="Times New Roman" w:hAnsi="Times New Roman" w:eastAsia="仿宋" w:cs="Times New Roman"/>
          <w:color w:val="auto"/>
          <w:sz w:val="24"/>
          <w:szCs w:val="24"/>
          <w:lang w:val="en-US" w:eastAsia="zh-CN" w:bidi="ar-SA"/>
        </w:rPr>
        <w:t>【条文说明】</w:t>
      </w:r>
      <w:r>
        <w:rPr>
          <w:rFonts w:hint="eastAsia" w:ascii="Times New Roman" w:hAnsi="Times New Roman" w:eastAsia="仿宋" w:cs="Times New Roman"/>
          <w:color w:val="auto"/>
          <w:sz w:val="24"/>
          <w:szCs w:val="24"/>
          <w:highlight w:val="none"/>
          <w:lang w:val="en-US" w:eastAsia="zh-CN" w:bidi="ar-SA"/>
        </w:rPr>
        <w:t>该定义参照</w:t>
      </w:r>
      <w:r>
        <w:rPr>
          <w:rFonts w:hint="eastAsia" w:eastAsia="仿宋" w:cs="Times New Roman"/>
          <w:color w:val="auto"/>
          <w:sz w:val="24"/>
          <w:szCs w:val="24"/>
          <w:highlight w:val="none"/>
          <w:lang w:val="en-US" w:eastAsia="zh-CN" w:bidi="ar-SA"/>
        </w:rPr>
        <w:t>团体标准</w:t>
      </w:r>
      <w:r>
        <w:rPr>
          <w:rFonts w:hint="eastAsia" w:ascii="Times New Roman" w:hAnsi="Times New Roman" w:eastAsia="仿宋" w:cs="Times New Roman"/>
          <w:color w:val="auto"/>
          <w:sz w:val="24"/>
          <w:szCs w:val="24"/>
          <w:highlight w:val="none"/>
          <w:lang w:val="en-US" w:eastAsia="zh-CN" w:bidi="ar-SA"/>
        </w:rPr>
        <w:t>《水生生物监测环境DNA宏条形法》（</w:t>
      </w:r>
      <w:r>
        <w:rPr>
          <w:rFonts w:hint="eastAsia" w:eastAsia="仿宋" w:cs="Times New Roman"/>
          <w:color w:val="auto"/>
          <w:sz w:val="24"/>
          <w:szCs w:val="24"/>
          <w:highlight w:val="none"/>
          <w:lang w:val="en-US" w:eastAsia="zh-CN" w:bidi="ar-SA"/>
        </w:rPr>
        <w:t>T/CSES 81—2023</w:t>
      </w:r>
      <w:r>
        <w:rPr>
          <w:rFonts w:hint="eastAsia" w:ascii="Times New Roman" w:hAnsi="Times New Roman" w:eastAsia="仿宋" w:cs="Times New Roman"/>
          <w:color w:val="auto"/>
          <w:sz w:val="24"/>
          <w:szCs w:val="24"/>
          <w:highlight w:val="none"/>
          <w:lang w:val="en-US" w:eastAsia="zh-CN" w:bidi="ar-SA"/>
        </w:rPr>
        <w:t>）中的解释。</w:t>
      </w:r>
    </w:p>
    <w:p w14:paraId="27D99E91">
      <w:pPr>
        <w:pStyle w:val="15"/>
        <w:keepNext w:val="0"/>
        <w:keepLines w:val="0"/>
        <w:pageBreakBefore w:val="0"/>
        <w:widowControl w:val="0"/>
        <w:numPr>
          <w:ilvl w:val="0"/>
          <w:numId w:val="0"/>
        </w:numPr>
        <w:tabs>
          <w:tab w:val="center" w:pos="4201"/>
          <w:tab w:val="right" w:leader="dot" w:pos="9298"/>
        </w:tabs>
        <w:kinsoku/>
        <w:wordWrap/>
        <w:overflowPunct/>
        <w:topLinePunct w:val="0"/>
        <w:autoSpaceDE/>
        <w:autoSpaceDN/>
        <w:bidi w:val="0"/>
        <w:adjustRightInd w:val="0"/>
        <w:snapToGrid/>
        <w:spacing w:line="480" w:lineRule="exact"/>
        <w:ind w:firstLine="480" w:firstLineChars="200"/>
        <w:textAlignment w:val="auto"/>
        <w:rPr>
          <w:rFonts w:hint="eastAsia" w:cs="Times New Roman"/>
          <w:color w:val="auto"/>
          <w:sz w:val="21"/>
          <w:szCs w:val="21"/>
          <w:lang w:eastAsia="zh-CN"/>
        </w:rPr>
      </w:pPr>
      <w:r>
        <w:rPr>
          <w:rFonts w:hint="eastAsia" w:eastAsia="仿宋" w:cs="Times New Roman"/>
          <w:color w:val="auto"/>
          <w:sz w:val="24"/>
          <w:szCs w:val="24"/>
          <w:lang w:val="en-US" w:eastAsia="zh-CN" w:bidi="ar-SA"/>
        </w:rPr>
        <w:t>（18）</w:t>
      </w:r>
      <w:r>
        <w:rPr>
          <w:rFonts w:hint="default" w:ascii="Times New Roman" w:hAnsi="Times New Roman" w:eastAsia="仿宋" w:cs="Times New Roman"/>
          <w:color w:val="auto"/>
          <w:sz w:val="24"/>
          <w:szCs w:val="24"/>
          <w:lang w:val="en-US" w:eastAsia="zh-CN" w:bidi="ar-SA"/>
        </w:rPr>
        <w:t>阳性质控样本</w:t>
      </w:r>
      <w:r>
        <w:rPr>
          <w:rFonts w:hint="eastAsia" w:ascii="Times New Roman" w:hAnsi="Times New Roman" w:eastAsia="仿宋" w:cs="Times New Roman"/>
          <w:color w:val="auto"/>
          <w:sz w:val="24"/>
          <w:szCs w:val="24"/>
          <w:lang w:val="en-US" w:eastAsia="zh-CN" w:bidi="ar-SA"/>
        </w:rPr>
        <w:t>：指确定已知物种组成的样本，与待测样本同步实验，用于判断测序结果是否可靠。</w:t>
      </w:r>
    </w:p>
    <w:p w14:paraId="6CF5D2EF">
      <w:pPr>
        <w:pStyle w:val="15"/>
        <w:keepNext w:val="0"/>
        <w:keepLines w:val="0"/>
        <w:pageBreakBefore w:val="0"/>
        <w:widowControl w:val="0"/>
        <w:numPr>
          <w:ilvl w:val="0"/>
          <w:numId w:val="0"/>
        </w:numPr>
        <w:tabs>
          <w:tab w:val="center" w:pos="4201"/>
          <w:tab w:val="right" w:leader="dot" w:pos="9298"/>
        </w:tabs>
        <w:kinsoku/>
        <w:wordWrap/>
        <w:overflowPunct/>
        <w:topLinePunct w:val="0"/>
        <w:autoSpaceDE/>
        <w:autoSpaceDN/>
        <w:bidi w:val="0"/>
        <w:adjustRightInd w:val="0"/>
        <w:snapToGrid/>
        <w:spacing w:line="480" w:lineRule="exact"/>
        <w:ind w:firstLine="480" w:firstLineChars="200"/>
        <w:textAlignment w:val="auto"/>
        <w:rPr>
          <w:rFonts w:hint="eastAsia" w:cs="Times New Roman"/>
          <w:color w:val="auto"/>
          <w:sz w:val="21"/>
          <w:szCs w:val="21"/>
          <w:lang w:eastAsia="zh-CN"/>
        </w:rPr>
      </w:pPr>
      <w:r>
        <w:rPr>
          <w:rFonts w:hint="eastAsia" w:ascii="Times New Roman" w:hAnsi="Times New Roman" w:eastAsia="仿宋" w:cs="Times New Roman"/>
          <w:color w:val="auto"/>
          <w:sz w:val="24"/>
          <w:szCs w:val="24"/>
          <w:lang w:val="en-US" w:eastAsia="zh-CN" w:bidi="ar-SA"/>
        </w:rPr>
        <w:t>【条文说明】</w:t>
      </w:r>
      <w:r>
        <w:rPr>
          <w:rFonts w:hint="eastAsia" w:ascii="Times New Roman" w:hAnsi="Times New Roman" w:eastAsia="仿宋" w:cs="Times New Roman"/>
          <w:color w:val="auto"/>
          <w:sz w:val="24"/>
          <w:szCs w:val="24"/>
          <w:highlight w:val="none"/>
          <w:lang w:val="en-US" w:eastAsia="zh-CN" w:bidi="ar-SA"/>
        </w:rPr>
        <w:t>该定义参照</w:t>
      </w:r>
      <w:r>
        <w:rPr>
          <w:rFonts w:hint="eastAsia" w:eastAsia="仿宋" w:cs="Times New Roman"/>
          <w:color w:val="auto"/>
          <w:sz w:val="24"/>
          <w:szCs w:val="24"/>
          <w:highlight w:val="none"/>
          <w:lang w:val="en-US" w:eastAsia="zh-CN" w:bidi="ar-SA"/>
        </w:rPr>
        <w:t>团体标准</w:t>
      </w:r>
      <w:r>
        <w:rPr>
          <w:rFonts w:hint="eastAsia" w:ascii="Times New Roman" w:hAnsi="Times New Roman" w:eastAsia="仿宋" w:cs="Times New Roman"/>
          <w:color w:val="auto"/>
          <w:sz w:val="24"/>
          <w:szCs w:val="24"/>
          <w:highlight w:val="none"/>
          <w:lang w:val="en-US" w:eastAsia="zh-CN" w:bidi="ar-SA"/>
        </w:rPr>
        <w:t>《水生生物监测环境DNA宏条形法》（</w:t>
      </w:r>
      <w:r>
        <w:rPr>
          <w:rFonts w:hint="eastAsia" w:eastAsia="仿宋" w:cs="Times New Roman"/>
          <w:color w:val="auto"/>
          <w:sz w:val="24"/>
          <w:szCs w:val="24"/>
          <w:highlight w:val="none"/>
          <w:lang w:val="en-US" w:eastAsia="zh-CN" w:bidi="ar-SA"/>
        </w:rPr>
        <w:t>T/CSES 81—2023</w:t>
      </w:r>
      <w:r>
        <w:rPr>
          <w:rFonts w:hint="eastAsia" w:ascii="Times New Roman" w:hAnsi="Times New Roman" w:eastAsia="仿宋" w:cs="Times New Roman"/>
          <w:color w:val="auto"/>
          <w:sz w:val="24"/>
          <w:szCs w:val="24"/>
          <w:highlight w:val="none"/>
          <w:lang w:val="en-US" w:eastAsia="zh-CN" w:bidi="ar-SA"/>
        </w:rPr>
        <w:t>）中的解释。</w:t>
      </w:r>
    </w:p>
    <w:p w14:paraId="24E119E3">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textAlignment w:val="auto"/>
        <w:rPr>
          <w:rFonts w:hint="default" w:eastAsia="仿宋" w:cs="Times New Roman"/>
          <w:b/>
          <w:bCs/>
          <w:color w:val="auto"/>
          <w:sz w:val="24"/>
          <w:szCs w:val="24"/>
          <w:lang w:val="en-US" w:eastAsia="zh-CN"/>
        </w:rPr>
      </w:pPr>
      <w:bookmarkStart w:id="62" w:name="_Toc72932752"/>
      <w:r>
        <w:rPr>
          <w:rFonts w:hint="eastAsia" w:eastAsia="仿宋" w:cs="Times New Roman"/>
          <w:b/>
          <w:bCs/>
          <w:color w:val="auto"/>
          <w:sz w:val="24"/>
          <w:szCs w:val="24"/>
          <w:lang w:val="en-US" w:eastAsia="zh-CN"/>
        </w:rPr>
        <w:t xml:space="preserve">5.2.4 </w:t>
      </w:r>
      <w:bookmarkEnd w:id="62"/>
      <w:r>
        <w:rPr>
          <w:rFonts w:hint="eastAsia" w:eastAsia="仿宋" w:cs="Times New Roman"/>
          <w:b/>
          <w:bCs/>
          <w:color w:val="auto"/>
          <w:sz w:val="24"/>
          <w:szCs w:val="24"/>
          <w:lang w:val="en-US" w:eastAsia="zh-CN"/>
        </w:rPr>
        <w:t>试剂和器材</w:t>
      </w:r>
    </w:p>
    <w:p w14:paraId="4F2146E7">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textAlignment w:val="auto"/>
        <w:rPr>
          <w:rFonts w:hint="default" w:eastAsia="仿宋" w:cs="Times New Roman"/>
          <w:b/>
          <w:bCs/>
          <w:sz w:val="24"/>
          <w:szCs w:val="24"/>
          <w:lang w:val="en-US" w:eastAsia="zh-CN"/>
        </w:rPr>
      </w:pPr>
      <w:r>
        <w:rPr>
          <w:rFonts w:hint="eastAsia" w:eastAsia="仿宋" w:cs="Times New Roman"/>
          <w:b/>
          <w:bCs/>
          <w:sz w:val="24"/>
          <w:szCs w:val="24"/>
          <w:lang w:val="en-US" w:eastAsia="zh-CN"/>
        </w:rPr>
        <w:t xml:space="preserve">5.2.4.1 </w:t>
      </w:r>
      <w:r>
        <w:rPr>
          <w:rFonts w:hint="default" w:eastAsia="仿宋" w:cs="Times New Roman"/>
          <w:b/>
          <w:bCs/>
          <w:sz w:val="24"/>
          <w:szCs w:val="24"/>
          <w:lang w:val="en-US" w:eastAsia="zh-CN"/>
        </w:rPr>
        <w:t>试剂和材料</w:t>
      </w:r>
    </w:p>
    <w:p w14:paraId="6465E6C9">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0" w:leftChars="0" w:right="0" w:firstLine="480" w:firstLineChars="200"/>
        <w:jc w:val="both"/>
        <w:textAlignment w:val="auto"/>
        <w:rPr>
          <w:rFonts w:hint="default" w:ascii="Times New Roman" w:hAnsi="Times New Roman" w:eastAsia="仿宋" w:cs="Times New Roman"/>
          <w:sz w:val="24"/>
          <w:szCs w:val="24"/>
          <w:lang w:val="en-US" w:eastAsia="zh-CN" w:bidi="ar-SA"/>
        </w:rPr>
      </w:pPr>
      <w:r>
        <w:rPr>
          <w:rFonts w:hint="default" w:ascii="Times New Roman" w:hAnsi="Times New Roman" w:eastAsia="仿宋" w:cs="Times New Roman"/>
          <w:sz w:val="24"/>
          <w:szCs w:val="24"/>
          <w:lang w:val="en-US" w:eastAsia="zh-CN" w:bidi="ar-SA"/>
        </w:rPr>
        <w:t>PCR</w:t>
      </w:r>
      <w:r>
        <w:rPr>
          <w:rFonts w:hint="eastAsia" w:ascii="Times New Roman" w:hAnsi="Times New Roman" w:eastAsia="仿宋" w:cs="Times New Roman"/>
          <w:sz w:val="24"/>
          <w:szCs w:val="24"/>
          <w:lang w:val="en-US" w:eastAsia="zh-CN" w:bidi="ar-SA"/>
        </w:rPr>
        <w:t xml:space="preserve"> </w:t>
      </w:r>
      <w:r>
        <w:rPr>
          <w:rFonts w:hint="default" w:ascii="Times New Roman" w:hAnsi="Times New Roman" w:eastAsia="仿宋" w:cs="Times New Roman"/>
          <w:sz w:val="24"/>
          <w:szCs w:val="24"/>
          <w:lang w:val="en-US" w:eastAsia="zh-CN" w:bidi="ar-SA"/>
        </w:rPr>
        <w:t>扩增试剂</w:t>
      </w:r>
      <w:r>
        <w:rPr>
          <w:rFonts w:hint="eastAsia" w:eastAsia="仿宋" w:cs="Times New Roman"/>
          <w:sz w:val="24"/>
          <w:szCs w:val="24"/>
          <w:lang w:val="en-US" w:eastAsia="zh-CN" w:bidi="ar-SA"/>
        </w:rPr>
        <w:t>。</w:t>
      </w:r>
    </w:p>
    <w:p w14:paraId="67A35326">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0" w:leftChars="0" w:right="0" w:firstLine="480" w:firstLineChars="200"/>
        <w:jc w:val="both"/>
        <w:textAlignment w:val="auto"/>
        <w:rPr>
          <w:rFonts w:hint="default" w:ascii="Times New Roman" w:hAnsi="Times New Roman" w:eastAsia="仿宋" w:cs="Times New Roman"/>
          <w:sz w:val="24"/>
          <w:szCs w:val="24"/>
          <w:lang w:val="en-US" w:eastAsia="zh-CN" w:bidi="ar-SA"/>
        </w:rPr>
      </w:pPr>
      <w:r>
        <w:rPr>
          <w:rFonts w:hint="default" w:ascii="Times New Roman" w:hAnsi="Times New Roman" w:eastAsia="仿宋" w:cs="Times New Roman"/>
          <w:sz w:val="24"/>
          <w:szCs w:val="24"/>
          <w:lang w:val="en-US" w:eastAsia="zh-CN" w:bidi="ar-SA"/>
        </w:rPr>
        <w:t>PCR扩增引物</w:t>
      </w:r>
      <w:r>
        <w:rPr>
          <w:rFonts w:hint="eastAsia" w:eastAsia="仿宋" w:cs="Times New Roman"/>
          <w:sz w:val="24"/>
          <w:szCs w:val="24"/>
          <w:lang w:val="en-US" w:eastAsia="zh-CN" w:bidi="ar-SA"/>
        </w:rPr>
        <w:t>。</w:t>
      </w:r>
    </w:p>
    <w:p w14:paraId="1BCB1B0E">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0" w:leftChars="0" w:right="0" w:firstLine="480" w:firstLineChars="200"/>
        <w:jc w:val="both"/>
        <w:textAlignment w:val="auto"/>
        <w:rPr>
          <w:rFonts w:hint="default" w:ascii="Times New Roman" w:hAnsi="Times New Roman" w:eastAsia="仿宋" w:cs="Times New Roman"/>
          <w:sz w:val="24"/>
          <w:szCs w:val="24"/>
          <w:lang w:val="en-US" w:eastAsia="zh-CN" w:bidi="ar-SA"/>
        </w:rPr>
      </w:pPr>
      <w:r>
        <w:rPr>
          <w:rFonts w:hint="default" w:ascii="Times New Roman" w:hAnsi="Times New Roman" w:eastAsia="仿宋" w:cs="Times New Roman"/>
          <w:sz w:val="24"/>
          <w:szCs w:val="24"/>
          <w:lang w:val="en-US" w:eastAsia="zh-CN" w:bidi="ar-SA"/>
        </w:rPr>
        <w:t>PCR产物纯化试剂盒</w:t>
      </w:r>
      <w:r>
        <w:rPr>
          <w:rFonts w:hint="eastAsia" w:eastAsia="仿宋" w:cs="Times New Roman"/>
          <w:sz w:val="24"/>
          <w:szCs w:val="24"/>
          <w:lang w:val="en-US" w:eastAsia="zh-CN" w:bidi="ar-SA"/>
        </w:rPr>
        <w:t>。</w:t>
      </w:r>
    </w:p>
    <w:p w14:paraId="2269F988">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0" w:leftChars="0" w:right="0" w:firstLine="480" w:firstLineChars="200"/>
        <w:jc w:val="both"/>
        <w:textAlignment w:val="auto"/>
        <w:rPr>
          <w:rFonts w:hint="default" w:ascii="Times New Roman" w:hAnsi="Times New Roman" w:eastAsia="仿宋" w:cs="Times New Roman"/>
          <w:sz w:val="24"/>
          <w:szCs w:val="24"/>
          <w:lang w:val="en-US" w:eastAsia="zh-CN" w:bidi="ar-SA"/>
        </w:rPr>
      </w:pPr>
      <w:r>
        <w:rPr>
          <w:rFonts w:hint="default" w:ascii="Times New Roman" w:hAnsi="Times New Roman" w:eastAsia="仿宋" w:cs="Times New Roman"/>
          <w:sz w:val="24"/>
          <w:szCs w:val="24"/>
          <w:lang w:val="en-US" w:eastAsia="zh-CN" w:bidi="ar-SA"/>
        </w:rPr>
        <w:t>DNA浓度测定试剂</w:t>
      </w:r>
      <w:r>
        <w:rPr>
          <w:rFonts w:hint="eastAsia" w:eastAsia="仿宋" w:cs="Times New Roman"/>
          <w:sz w:val="24"/>
          <w:szCs w:val="24"/>
          <w:lang w:val="en-US" w:eastAsia="zh-CN" w:bidi="ar-SA"/>
        </w:rPr>
        <w:t>。</w:t>
      </w:r>
    </w:p>
    <w:p w14:paraId="2E367678">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0" w:leftChars="0" w:right="0" w:firstLine="480" w:firstLineChars="200"/>
        <w:jc w:val="both"/>
        <w:textAlignment w:val="auto"/>
        <w:rPr>
          <w:rFonts w:hint="default" w:ascii="Times New Roman" w:hAnsi="Times New Roman" w:eastAsia="仿宋" w:cs="Times New Roman"/>
          <w:sz w:val="24"/>
          <w:szCs w:val="24"/>
          <w:lang w:val="en-US" w:eastAsia="zh-CN" w:bidi="ar-SA"/>
        </w:rPr>
      </w:pPr>
      <w:r>
        <w:rPr>
          <w:rFonts w:hint="default" w:ascii="Times New Roman" w:hAnsi="Times New Roman" w:eastAsia="仿宋" w:cs="Times New Roman"/>
          <w:sz w:val="24"/>
          <w:szCs w:val="24"/>
          <w:lang w:val="en-US" w:eastAsia="zh-CN" w:bidi="ar-SA"/>
        </w:rPr>
        <w:t>凝胶电泳相关试剂：十二烷基硫酸钠（SDS，C12H25SO4Na），1%琼脂糖凝胶：称取0.3</w:t>
      </w:r>
      <w:r>
        <w:rPr>
          <w:rFonts w:hint="eastAsia" w:eastAsia="仿宋" w:cs="Times New Roman"/>
          <w:sz w:val="24"/>
          <w:szCs w:val="24"/>
          <w:lang w:val="en-US" w:eastAsia="zh-CN" w:bidi="ar-SA"/>
        </w:rPr>
        <w:t xml:space="preserve"> </w:t>
      </w:r>
      <w:r>
        <w:rPr>
          <w:rFonts w:hint="default" w:ascii="Times New Roman" w:hAnsi="Times New Roman" w:eastAsia="仿宋" w:cs="Times New Roman"/>
          <w:sz w:val="24"/>
          <w:szCs w:val="24"/>
          <w:lang w:val="en-US" w:eastAsia="zh-CN" w:bidi="ar-SA"/>
        </w:rPr>
        <w:t>g琼脂糖，加入30</w:t>
      </w:r>
      <w:r>
        <w:rPr>
          <w:rFonts w:hint="eastAsia" w:eastAsia="仿宋" w:cs="Times New Roman"/>
          <w:sz w:val="24"/>
          <w:szCs w:val="24"/>
          <w:lang w:val="en-US" w:eastAsia="zh-CN" w:bidi="ar-SA"/>
        </w:rPr>
        <w:t xml:space="preserve"> </w:t>
      </w:r>
      <w:r>
        <w:rPr>
          <w:rFonts w:hint="default" w:ascii="Times New Roman" w:hAnsi="Times New Roman" w:eastAsia="仿宋" w:cs="Times New Roman"/>
          <w:sz w:val="24"/>
          <w:szCs w:val="24"/>
          <w:lang w:val="en-US" w:eastAsia="zh-CN" w:bidi="ar-SA"/>
        </w:rPr>
        <w:t>m</w:t>
      </w:r>
      <w:r>
        <w:rPr>
          <w:rFonts w:hint="eastAsia" w:eastAsia="仿宋" w:cs="Times New Roman"/>
          <w:sz w:val="24"/>
          <w:szCs w:val="24"/>
          <w:lang w:val="en-US" w:eastAsia="zh-CN" w:bidi="ar-SA"/>
        </w:rPr>
        <w:t>L</w:t>
      </w:r>
      <w:r>
        <w:rPr>
          <w:rFonts w:hint="default" w:ascii="Times New Roman" w:hAnsi="Times New Roman" w:eastAsia="仿宋" w:cs="Times New Roman"/>
          <w:sz w:val="24"/>
          <w:szCs w:val="24"/>
          <w:lang w:val="en-US" w:eastAsia="zh-CN" w:bidi="ar-SA"/>
        </w:rPr>
        <w:t>去离子水，微波炉加热至恰好全部熔化，立即倒入七孔制胶槽中，插入制胶梳，冷却凝固拔出制胶梳后检查上样孔是否完整无损，临用现制。也可使用其他孔数制胶槽的电泳仪，并适当调整琼脂糖凝胶的制备量。</w:t>
      </w:r>
    </w:p>
    <w:p w14:paraId="521D2421">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0" w:leftChars="0" w:right="0" w:firstLine="480" w:firstLineChars="200"/>
        <w:jc w:val="both"/>
        <w:textAlignment w:val="auto"/>
        <w:rPr>
          <w:rFonts w:hint="default" w:ascii="Times New Roman" w:hAnsi="Times New Roman" w:eastAsia="仿宋" w:cs="Times New Roman"/>
          <w:sz w:val="24"/>
          <w:szCs w:val="24"/>
          <w:lang w:val="en-US" w:eastAsia="zh-CN" w:bidi="ar-SA"/>
        </w:rPr>
      </w:pPr>
      <w:r>
        <w:rPr>
          <w:rFonts w:hint="default" w:ascii="Times New Roman" w:hAnsi="Times New Roman" w:eastAsia="仿宋" w:cs="Times New Roman"/>
          <w:sz w:val="24"/>
          <w:szCs w:val="24"/>
          <w:lang w:val="en-US" w:eastAsia="zh-CN" w:bidi="ar-SA"/>
        </w:rPr>
        <w:t>高通量测序：根据测序平台选取相关试剂和材料</w:t>
      </w:r>
      <w:r>
        <w:rPr>
          <w:rFonts w:hint="eastAsia" w:eastAsia="仿宋" w:cs="Times New Roman"/>
          <w:sz w:val="24"/>
          <w:szCs w:val="24"/>
          <w:lang w:val="en-US" w:eastAsia="zh-CN" w:bidi="ar-SA"/>
        </w:rPr>
        <w:t>。</w:t>
      </w:r>
    </w:p>
    <w:p w14:paraId="4A968E35">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0" w:leftChars="0" w:right="0" w:firstLine="480" w:firstLineChars="200"/>
        <w:jc w:val="both"/>
        <w:textAlignment w:val="auto"/>
        <w:rPr>
          <w:rFonts w:hint="default" w:ascii="Times New Roman" w:hAnsi="Times New Roman" w:eastAsia="仿宋" w:cs="Times New Roman"/>
          <w:sz w:val="24"/>
          <w:szCs w:val="24"/>
          <w:lang w:val="en-US" w:eastAsia="zh-CN" w:bidi="ar-SA"/>
        </w:rPr>
      </w:pPr>
      <w:r>
        <w:rPr>
          <w:rFonts w:hint="default" w:ascii="Times New Roman" w:hAnsi="Times New Roman" w:eastAsia="仿宋" w:cs="Times New Roman"/>
          <w:sz w:val="24"/>
          <w:szCs w:val="24"/>
          <w:lang w:val="en-US" w:eastAsia="zh-CN" w:bidi="ar-SA"/>
        </w:rPr>
        <w:t>超纯水或去离子水121℃灭菌</w:t>
      </w:r>
      <w:r>
        <w:rPr>
          <w:rFonts w:hint="eastAsia" w:eastAsia="仿宋" w:cs="Times New Roman"/>
          <w:sz w:val="24"/>
          <w:szCs w:val="24"/>
          <w:lang w:val="en-US" w:eastAsia="zh-CN" w:bidi="ar-SA"/>
        </w:rPr>
        <w:t>。</w:t>
      </w:r>
    </w:p>
    <w:p w14:paraId="26A51C5A">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0" w:leftChars="0" w:right="0" w:firstLine="480" w:firstLineChars="200"/>
        <w:jc w:val="both"/>
        <w:textAlignment w:val="auto"/>
        <w:rPr>
          <w:rFonts w:hint="default" w:ascii="Times New Roman" w:hAnsi="Times New Roman" w:eastAsia="仿宋" w:cs="Times New Roman"/>
          <w:sz w:val="24"/>
          <w:szCs w:val="24"/>
          <w:lang w:val="en-US" w:eastAsia="zh-CN" w:bidi="ar-SA"/>
        </w:rPr>
      </w:pPr>
      <w:r>
        <w:rPr>
          <w:rFonts w:hint="default" w:ascii="Times New Roman" w:hAnsi="Times New Roman" w:eastAsia="仿宋" w:cs="Times New Roman"/>
          <w:sz w:val="24"/>
          <w:szCs w:val="24"/>
          <w:lang w:val="en-US" w:eastAsia="zh-CN" w:bidi="ar-SA"/>
        </w:rPr>
        <w:t>通用无菌手套</w:t>
      </w:r>
      <w:r>
        <w:rPr>
          <w:rFonts w:hint="eastAsia" w:eastAsia="仿宋" w:cs="Times New Roman"/>
          <w:sz w:val="24"/>
          <w:szCs w:val="24"/>
          <w:lang w:val="en-US" w:eastAsia="zh-CN" w:bidi="ar-SA"/>
        </w:rPr>
        <w:t>。</w:t>
      </w:r>
    </w:p>
    <w:p w14:paraId="4E16C5CE">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0" w:leftChars="0" w:right="0" w:firstLine="480" w:firstLineChars="200"/>
        <w:jc w:val="both"/>
        <w:textAlignment w:val="auto"/>
        <w:rPr>
          <w:rFonts w:hint="default" w:ascii="Times New Roman" w:hAnsi="Times New Roman" w:eastAsia="仿宋" w:cs="Times New Roman"/>
          <w:sz w:val="24"/>
          <w:szCs w:val="24"/>
          <w:lang w:val="en-US" w:eastAsia="zh-CN" w:bidi="ar-SA"/>
        </w:rPr>
      </w:pPr>
      <w:r>
        <w:rPr>
          <w:rFonts w:hint="default" w:ascii="Times New Roman" w:hAnsi="Times New Roman" w:eastAsia="仿宋" w:cs="Times New Roman"/>
          <w:sz w:val="24"/>
          <w:szCs w:val="24"/>
          <w:lang w:val="en-US" w:eastAsia="zh-CN" w:bidi="ar-SA"/>
        </w:rPr>
        <w:t>离心管：无DNA和生物残留</w:t>
      </w:r>
      <w:r>
        <w:rPr>
          <w:rFonts w:hint="eastAsia" w:eastAsia="仿宋" w:cs="Times New Roman"/>
          <w:sz w:val="24"/>
          <w:szCs w:val="24"/>
          <w:lang w:val="en-US" w:eastAsia="zh-CN" w:bidi="ar-SA"/>
        </w:rPr>
        <w:t>。</w:t>
      </w:r>
    </w:p>
    <w:p w14:paraId="6A5D9A4E">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0" w:leftChars="0" w:right="0" w:firstLine="480" w:firstLineChars="200"/>
        <w:jc w:val="both"/>
        <w:textAlignment w:val="auto"/>
        <w:rPr>
          <w:rFonts w:hint="default" w:ascii="Times New Roman" w:hAnsi="Times New Roman" w:eastAsia="仿宋" w:cs="Times New Roman"/>
          <w:sz w:val="24"/>
          <w:szCs w:val="24"/>
          <w:lang w:val="en-US" w:eastAsia="zh-CN" w:bidi="ar-SA"/>
        </w:rPr>
      </w:pPr>
      <w:r>
        <w:rPr>
          <w:rFonts w:hint="default" w:ascii="Times New Roman" w:hAnsi="Times New Roman" w:eastAsia="仿宋" w:cs="Times New Roman"/>
          <w:sz w:val="24"/>
          <w:szCs w:val="24"/>
          <w:lang w:val="en-US" w:eastAsia="zh-CN" w:bidi="ar-SA"/>
        </w:rPr>
        <w:t>DNA提取试剂或试剂盒</w:t>
      </w:r>
      <w:r>
        <w:rPr>
          <w:rFonts w:hint="eastAsia" w:eastAsia="仿宋" w:cs="Times New Roman"/>
          <w:sz w:val="24"/>
          <w:szCs w:val="24"/>
          <w:lang w:val="en-US" w:eastAsia="zh-CN" w:bidi="ar-SA"/>
        </w:rPr>
        <w:t>。</w:t>
      </w:r>
    </w:p>
    <w:p w14:paraId="616D97EA">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0" w:leftChars="0" w:right="0" w:firstLine="480" w:firstLineChars="200"/>
        <w:jc w:val="both"/>
        <w:textAlignment w:val="auto"/>
        <w:rPr>
          <w:rFonts w:hint="default" w:ascii="Times New Roman" w:hAnsi="Times New Roman" w:eastAsia="仿宋" w:cs="Times New Roman"/>
          <w:sz w:val="24"/>
          <w:szCs w:val="24"/>
          <w:lang w:val="en-US" w:eastAsia="zh-CN" w:bidi="ar-SA"/>
        </w:rPr>
      </w:pPr>
      <w:r>
        <w:rPr>
          <w:rFonts w:hint="default" w:ascii="Times New Roman" w:hAnsi="Times New Roman" w:eastAsia="仿宋" w:cs="Times New Roman"/>
          <w:sz w:val="24"/>
          <w:szCs w:val="24"/>
          <w:lang w:val="en-US" w:eastAsia="zh-CN" w:bidi="ar-SA"/>
        </w:rPr>
        <w:t>无水乙醇：分析纯</w:t>
      </w:r>
      <w:r>
        <w:rPr>
          <w:rFonts w:hint="eastAsia" w:eastAsia="仿宋" w:cs="Times New Roman"/>
          <w:sz w:val="24"/>
          <w:szCs w:val="24"/>
          <w:lang w:val="en-US" w:eastAsia="zh-CN" w:bidi="ar-SA"/>
        </w:rPr>
        <w:t>。</w:t>
      </w:r>
    </w:p>
    <w:p w14:paraId="1604125B">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textAlignment w:val="auto"/>
        <w:rPr>
          <w:rFonts w:hint="default" w:eastAsia="仿宋" w:cs="Times New Roman"/>
          <w:b/>
          <w:bCs/>
          <w:sz w:val="24"/>
          <w:szCs w:val="24"/>
          <w:lang w:val="en-US" w:eastAsia="zh-CN"/>
        </w:rPr>
      </w:pPr>
      <w:bookmarkStart w:id="63" w:name="_Toc133513159"/>
      <w:r>
        <w:rPr>
          <w:rFonts w:hint="eastAsia" w:eastAsia="仿宋" w:cs="Times New Roman"/>
          <w:b/>
          <w:bCs/>
          <w:sz w:val="24"/>
          <w:szCs w:val="24"/>
          <w:lang w:val="en-US" w:eastAsia="zh-CN"/>
        </w:rPr>
        <w:t xml:space="preserve">5.2.4.2 </w:t>
      </w:r>
      <w:r>
        <w:rPr>
          <w:rFonts w:hint="default" w:eastAsia="仿宋" w:cs="Times New Roman"/>
          <w:b/>
          <w:bCs/>
          <w:sz w:val="24"/>
          <w:szCs w:val="24"/>
          <w:lang w:val="en-US" w:eastAsia="zh-CN"/>
        </w:rPr>
        <w:t>仪器和设备</w:t>
      </w:r>
      <w:bookmarkEnd w:id="63"/>
    </w:p>
    <w:p w14:paraId="1839A349">
      <w:pPr>
        <w:keepNext w:val="0"/>
        <w:keepLines w:val="0"/>
        <w:pageBreakBefore w:val="0"/>
        <w:widowControl w:val="0"/>
        <w:kinsoku/>
        <w:wordWrap/>
        <w:overflowPunct/>
        <w:topLinePunct w:val="0"/>
        <w:autoSpaceDE/>
        <w:autoSpaceDN/>
        <w:bidi w:val="0"/>
        <w:adjustRightInd/>
        <w:snapToGrid/>
        <w:spacing w:line="480" w:lineRule="exact"/>
        <w:ind w:left="0" w:right="0" w:firstLine="471"/>
        <w:jc w:val="both"/>
        <w:textAlignment w:val="auto"/>
        <w:rPr>
          <w:rFonts w:hint="default" w:ascii="Times New Roman" w:hAnsi="Times New Roman" w:eastAsia="仿宋" w:cs="Times New Roman"/>
          <w:sz w:val="24"/>
          <w:szCs w:val="24"/>
          <w:lang w:val="en-US" w:eastAsia="zh-CN" w:bidi="ar-SA"/>
        </w:rPr>
      </w:pPr>
      <w:r>
        <w:rPr>
          <w:rFonts w:hint="default" w:ascii="Times New Roman" w:hAnsi="Times New Roman" w:eastAsia="仿宋" w:cs="Times New Roman"/>
          <w:sz w:val="24"/>
          <w:szCs w:val="24"/>
          <w:lang w:val="en-US" w:eastAsia="zh-CN" w:bidi="ar-SA"/>
        </w:rPr>
        <w:t>样品采集及前处理设备要求如下：</w:t>
      </w:r>
    </w:p>
    <w:p w14:paraId="0ECF9FBF">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0" w:leftChars="0" w:right="0" w:firstLine="480" w:firstLineChars="200"/>
        <w:jc w:val="both"/>
        <w:textAlignment w:val="auto"/>
        <w:rPr>
          <w:rFonts w:hint="default" w:ascii="Times New Roman" w:hAnsi="Times New Roman" w:eastAsia="仿宋" w:cs="Times New Roman"/>
          <w:sz w:val="24"/>
          <w:szCs w:val="24"/>
          <w:lang w:val="en-US" w:eastAsia="zh-CN" w:bidi="ar-SA"/>
        </w:rPr>
      </w:pPr>
      <w:r>
        <w:rPr>
          <w:rFonts w:hint="eastAsia" w:ascii="Times New Roman" w:hAnsi="Times New Roman" w:eastAsia="仿宋" w:cs="Times New Roman"/>
          <w:sz w:val="24"/>
          <w:szCs w:val="24"/>
          <w:lang w:val="en-US" w:eastAsia="zh-CN" w:bidi="ar-SA"/>
        </w:rPr>
        <w:t>大型</w:t>
      </w:r>
      <w:r>
        <w:rPr>
          <w:rFonts w:hint="default" w:ascii="Times New Roman" w:hAnsi="Times New Roman" w:eastAsia="仿宋" w:cs="Times New Roman"/>
          <w:sz w:val="24"/>
          <w:szCs w:val="24"/>
          <w:lang w:val="en-US" w:eastAsia="zh-CN" w:bidi="ar-SA"/>
        </w:rPr>
        <w:t>底栖</w:t>
      </w:r>
      <w:r>
        <w:rPr>
          <w:rFonts w:hint="eastAsia" w:ascii="Times New Roman" w:hAnsi="Times New Roman" w:eastAsia="仿宋" w:cs="Times New Roman"/>
          <w:sz w:val="24"/>
          <w:szCs w:val="24"/>
          <w:lang w:val="en-US" w:eastAsia="zh-CN" w:bidi="ar-SA"/>
        </w:rPr>
        <w:t>生物</w:t>
      </w:r>
      <w:r>
        <w:rPr>
          <w:rFonts w:hint="default" w:ascii="Times New Roman" w:hAnsi="Times New Roman" w:eastAsia="仿宋" w:cs="Times New Roman"/>
          <w:sz w:val="24"/>
          <w:szCs w:val="24"/>
          <w:lang w:val="en-US" w:eastAsia="zh-CN" w:bidi="ar-SA"/>
        </w:rPr>
        <w:t>采集工具：采泥器、D形网</w:t>
      </w:r>
      <w:r>
        <w:rPr>
          <w:rFonts w:hint="eastAsia" w:ascii="Times New Roman" w:hAnsi="Times New Roman" w:eastAsia="仿宋" w:cs="Times New Roman"/>
          <w:sz w:val="24"/>
          <w:szCs w:val="24"/>
          <w:lang w:val="en-US" w:eastAsia="zh-CN" w:bidi="ar-SA"/>
        </w:rPr>
        <w:t>、索伯网</w:t>
      </w:r>
      <w:r>
        <w:rPr>
          <w:rFonts w:hint="default" w:ascii="Times New Roman" w:hAnsi="Times New Roman" w:eastAsia="仿宋" w:cs="Times New Roman"/>
          <w:sz w:val="24"/>
          <w:szCs w:val="24"/>
          <w:lang w:val="en-US" w:eastAsia="zh-CN" w:bidi="ar-SA"/>
        </w:rPr>
        <w:t>等</w:t>
      </w:r>
      <w:r>
        <w:rPr>
          <w:rFonts w:hint="eastAsia" w:eastAsia="仿宋" w:cs="Times New Roman"/>
          <w:sz w:val="24"/>
          <w:szCs w:val="24"/>
          <w:lang w:val="en-US" w:eastAsia="zh-CN" w:bidi="ar-SA"/>
        </w:rPr>
        <w:t>。</w:t>
      </w:r>
    </w:p>
    <w:p w14:paraId="55A62C57">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0" w:leftChars="0" w:right="0" w:firstLine="480" w:firstLineChars="200"/>
        <w:jc w:val="both"/>
        <w:textAlignment w:val="auto"/>
        <w:rPr>
          <w:rFonts w:hint="eastAsia" w:ascii="Times New Roman" w:hAnsi="Times New Roman" w:eastAsia="仿宋" w:cs="Times New Roman"/>
          <w:sz w:val="24"/>
          <w:szCs w:val="24"/>
          <w:lang w:val="en-US" w:eastAsia="zh-CN" w:bidi="ar-SA"/>
        </w:rPr>
      </w:pPr>
      <w:r>
        <w:rPr>
          <w:rFonts w:hint="eastAsia" w:ascii="Times New Roman" w:hAnsi="Times New Roman" w:eastAsia="仿宋" w:cs="Times New Roman"/>
          <w:sz w:val="24"/>
          <w:szCs w:val="24"/>
          <w:lang w:val="en-US" w:eastAsia="zh-CN" w:bidi="ar-SA"/>
        </w:rPr>
        <w:t>水样抽滤设备。</w:t>
      </w:r>
    </w:p>
    <w:p w14:paraId="14F8E9AE">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0" w:leftChars="0" w:right="0" w:firstLine="480" w:firstLineChars="200"/>
        <w:jc w:val="both"/>
        <w:textAlignment w:val="auto"/>
        <w:rPr>
          <w:rFonts w:hint="eastAsia" w:ascii="Times New Roman" w:hAnsi="Times New Roman" w:eastAsia="仿宋" w:cs="Times New Roman"/>
          <w:sz w:val="24"/>
          <w:szCs w:val="24"/>
          <w:lang w:val="en-US" w:eastAsia="zh-CN" w:bidi="ar-SA"/>
        </w:rPr>
      </w:pPr>
      <w:r>
        <w:rPr>
          <w:rFonts w:hint="eastAsia" w:ascii="Times New Roman" w:hAnsi="Times New Roman" w:eastAsia="仿宋" w:cs="Times New Roman"/>
          <w:sz w:val="24"/>
          <w:szCs w:val="24"/>
          <w:lang w:val="en-US" w:eastAsia="zh-CN" w:bidi="ar-SA"/>
        </w:rPr>
        <w:t>沉积物采样设备：抓斗、采泥器等。</w:t>
      </w:r>
    </w:p>
    <w:p w14:paraId="1BC17286">
      <w:pPr>
        <w:keepNext w:val="0"/>
        <w:keepLines w:val="0"/>
        <w:pageBreakBefore w:val="0"/>
        <w:widowControl w:val="0"/>
        <w:kinsoku/>
        <w:wordWrap/>
        <w:overflowPunct/>
        <w:topLinePunct w:val="0"/>
        <w:autoSpaceDE/>
        <w:autoSpaceDN/>
        <w:bidi w:val="0"/>
        <w:adjustRightInd/>
        <w:snapToGrid/>
        <w:spacing w:line="480" w:lineRule="exact"/>
        <w:ind w:left="0" w:right="0" w:firstLine="471"/>
        <w:jc w:val="both"/>
        <w:textAlignment w:val="auto"/>
        <w:rPr>
          <w:rFonts w:hint="default" w:ascii="Times New Roman" w:hAnsi="Times New Roman" w:eastAsia="仿宋" w:cs="Times New Roman"/>
          <w:sz w:val="24"/>
          <w:szCs w:val="24"/>
          <w:lang w:val="en-US" w:eastAsia="zh-CN" w:bidi="ar-SA"/>
        </w:rPr>
      </w:pPr>
      <w:r>
        <w:rPr>
          <w:rFonts w:hint="default" w:ascii="Times New Roman" w:hAnsi="Times New Roman" w:eastAsia="仿宋" w:cs="Times New Roman"/>
          <w:sz w:val="24"/>
          <w:szCs w:val="24"/>
          <w:lang w:val="en-US" w:eastAsia="zh-CN" w:bidi="ar-SA"/>
        </w:rPr>
        <w:t>实验室分析</w:t>
      </w:r>
      <w:r>
        <w:rPr>
          <w:rFonts w:hint="eastAsia" w:ascii="Times New Roman" w:hAnsi="Times New Roman" w:eastAsia="仿宋" w:cs="Times New Roman"/>
          <w:sz w:val="24"/>
          <w:szCs w:val="24"/>
          <w:lang w:val="en-US" w:eastAsia="zh-CN" w:bidi="ar-SA"/>
        </w:rPr>
        <w:t>仪器和</w:t>
      </w:r>
      <w:r>
        <w:rPr>
          <w:rFonts w:hint="default" w:ascii="Times New Roman" w:hAnsi="Times New Roman" w:eastAsia="仿宋" w:cs="Times New Roman"/>
          <w:sz w:val="24"/>
          <w:szCs w:val="24"/>
          <w:lang w:val="en-US" w:eastAsia="zh-CN" w:bidi="ar-SA"/>
        </w:rPr>
        <w:t>设备要求如下：</w:t>
      </w:r>
    </w:p>
    <w:p w14:paraId="6D0840E0">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0" w:leftChars="0" w:right="0" w:firstLine="480" w:firstLineChars="200"/>
        <w:jc w:val="both"/>
        <w:textAlignment w:val="auto"/>
        <w:rPr>
          <w:rFonts w:hint="default" w:ascii="Times New Roman" w:hAnsi="Times New Roman" w:eastAsia="仿宋" w:cs="Times New Roman"/>
          <w:sz w:val="24"/>
          <w:szCs w:val="24"/>
          <w:lang w:val="en-US" w:eastAsia="zh-CN" w:bidi="ar-SA"/>
        </w:rPr>
      </w:pPr>
      <w:r>
        <w:rPr>
          <w:rFonts w:hint="default" w:ascii="Times New Roman" w:hAnsi="Times New Roman" w:eastAsia="仿宋" w:cs="Times New Roman"/>
          <w:sz w:val="24"/>
          <w:szCs w:val="24"/>
          <w:lang w:val="en-US" w:eastAsia="zh-CN" w:bidi="ar-SA"/>
        </w:rPr>
        <w:t>低温离心机：离心转速可达13000 r</w:t>
      </w:r>
      <w:r>
        <w:rPr>
          <w:rFonts w:hint="eastAsia" w:ascii="Times New Roman" w:hAnsi="Times New Roman" w:eastAsia="仿宋" w:cs="Times New Roman"/>
          <w:sz w:val="24"/>
          <w:szCs w:val="24"/>
          <w:lang w:val="en-US" w:eastAsia="zh-CN" w:bidi="ar-SA"/>
        </w:rPr>
        <w:t>/</w:t>
      </w:r>
      <w:r>
        <w:rPr>
          <w:rFonts w:hint="default" w:ascii="Times New Roman" w:hAnsi="Times New Roman" w:eastAsia="仿宋" w:cs="Times New Roman"/>
          <w:sz w:val="24"/>
          <w:szCs w:val="24"/>
          <w:lang w:val="en-US" w:eastAsia="zh-CN" w:bidi="ar-SA"/>
        </w:rPr>
        <w:t>m</w:t>
      </w:r>
      <w:r>
        <w:rPr>
          <w:rFonts w:hint="eastAsia" w:ascii="Times New Roman" w:hAnsi="Times New Roman" w:eastAsia="仿宋" w:cs="Times New Roman"/>
          <w:sz w:val="24"/>
          <w:szCs w:val="24"/>
          <w:lang w:val="en-US" w:eastAsia="zh-CN" w:bidi="ar-SA"/>
        </w:rPr>
        <w:t>in</w:t>
      </w:r>
      <w:r>
        <w:rPr>
          <w:rFonts w:hint="default" w:ascii="Times New Roman" w:hAnsi="Times New Roman" w:eastAsia="仿宋" w:cs="Times New Roman"/>
          <w:sz w:val="24"/>
          <w:szCs w:val="24"/>
          <w:lang w:val="en-US" w:eastAsia="zh-CN" w:bidi="ar-SA"/>
        </w:rPr>
        <w:t>，温控范围低至4℃</w:t>
      </w:r>
      <w:r>
        <w:rPr>
          <w:rFonts w:hint="eastAsia" w:eastAsia="仿宋" w:cs="Times New Roman"/>
          <w:sz w:val="24"/>
          <w:szCs w:val="24"/>
          <w:lang w:val="en-US" w:eastAsia="zh-CN" w:bidi="ar-SA"/>
        </w:rPr>
        <w:t>。</w:t>
      </w:r>
    </w:p>
    <w:p w14:paraId="5DB545E4">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0" w:leftChars="0" w:right="0" w:firstLine="480" w:firstLineChars="200"/>
        <w:jc w:val="both"/>
        <w:textAlignment w:val="auto"/>
        <w:rPr>
          <w:rFonts w:hint="default" w:ascii="Times New Roman" w:hAnsi="Times New Roman" w:eastAsia="仿宋" w:cs="Times New Roman"/>
          <w:sz w:val="24"/>
          <w:szCs w:val="24"/>
          <w:lang w:val="en-US" w:eastAsia="zh-CN" w:bidi="ar-SA"/>
        </w:rPr>
      </w:pPr>
      <w:r>
        <w:rPr>
          <w:rFonts w:hint="default" w:ascii="Times New Roman" w:hAnsi="Times New Roman" w:eastAsia="仿宋" w:cs="Times New Roman"/>
          <w:sz w:val="24"/>
          <w:szCs w:val="24"/>
          <w:lang w:val="en-US" w:eastAsia="zh-CN" w:bidi="ar-SA"/>
        </w:rPr>
        <w:t>微量移液器：0.5-10 µL、20-200 µL和100-1000 µL等</w:t>
      </w:r>
      <w:r>
        <w:rPr>
          <w:rFonts w:hint="eastAsia" w:eastAsia="仿宋" w:cs="Times New Roman"/>
          <w:sz w:val="24"/>
          <w:szCs w:val="24"/>
          <w:lang w:val="en-US" w:eastAsia="zh-CN" w:bidi="ar-SA"/>
        </w:rPr>
        <w:t>。</w:t>
      </w:r>
    </w:p>
    <w:p w14:paraId="446B6D0A">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0" w:leftChars="0" w:right="0" w:firstLine="480" w:firstLineChars="200"/>
        <w:jc w:val="both"/>
        <w:textAlignment w:val="auto"/>
        <w:rPr>
          <w:rFonts w:hint="default" w:ascii="Times New Roman" w:hAnsi="Times New Roman" w:eastAsia="仿宋" w:cs="Times New Roman"/>
          <w:sz w:val="24"/>
          <w:szCs w:val="24"/>
          <w:lang w:val="en-US" w:eastAsia="zh-CN" w:bidi="ar-SA"/>
        </w:rPr>
      </w:pPr>
      <w:r>
        <w:rPr>
          <w:rFonts w:hint="default" w:ascii="Times New Roman" w:hAnsi="Times New Roman" w:eastAsia="仿宋" w:cs="Times New Roman"/>
          <w:sz w:val="24"/>
          <w:szCs w:val="24"/>
          <w:lang w:val="en-US" w:eastAsia="zh-CN" w:bidi="ar-SA"/>
        </w:rPr>
        <w:t>PCR仪：温控范围0-100℃，升温速度6℃/s，配套PCR管200 µL</w:t>
      </w:r>
      <w:r>
        <w:rPr>
          <w:rFonts w:hint="eastAsia" w:eastAsia="仿宋" w:cs="Times New Roman"/>
          <w:sz w:val="24"/>
          <w:szCs w:val="24"/>
          <w:lang w:val="en-US" w:eastAsia="zh-CN" w:bidi="ar-SA"/>
        </w:rPr>
        <w:t>。</w:t>
      </w:r>
    </w:p>
    <w:p w14:paraId="2AA16C5C">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0" w:leftChars="0" w:right="0" w:firstLine="480" w:firstLineChars="200"/>
        <w:jc w:val="both"/>
        <w:textAlignment w:val="auto"/>
        <w:rPr>
          <w:rFonts w:hint="default" w:ascii="Times New Roman" w:hAnsi="Times New Roman" w:eastAsia="仿宋" w:cs="Times New Roman"/>
          <w:sz w:val="24"/>
          <w:szCs w:val="24"/>
          <w:lang w:val="en-US" w:eastAsia="zh-CN" w:bidi="ar-SA"/>
        </w:rPr>
      </w:pPr>
      <w:r>
        <w:rPr>
          <w:rFonts w:hint="default" w:ascii="Times New Roman" w:hAnsi="Times New Roman" w:eastAsia="仿宋" w:cs="Times New Roman"/>
          <w:sz w:val="24"/>
          <w:szCs w:val="24"/>
          <w:lang w:val="en-US" w:eastAsia="zh-CN" w:bidi="ar-SA"/>
        </w:rPr>
        <w:t>核酸电泳仪：水平式</w:t>
      </w:r>
      <w:r>
        <w:rPr>
          <w:rFonts w:hint="eastAsia" w:eastAsia="仿宋" w:cs="Times New Roman"/>
          <w:sz w:val="24"/>
          <w:szCs w:val="24"/>
          <w:lang w:val="en-US" w:eastAsia="zh-CN" w:bidi="ar-SA"/>
        </w:rPr>
        <w:t>。</w:t>
      </w:r>
    </w:p>
    <w:p w14:paraId="241595A0">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0" w:leftChars="0" w:right="0" w:firstLine="480" w:firstLineChars="200"/>
        <w:jc w:val="both"/>
        <w:textAlignment w:val="auto"/>
        <w:rPr>
          <w:rFonts w:hint="default" w:ascii="Times New Roman" w:hAnsi="Times New Roman" w:eastAsia="仿宋" w:cs="Times New Roman"/>
          <w:sz w:val="24"/>
          <w:szCs w:val="24"/>
          <w:lang w:val="en-US" w:eastAsia="zh-CN" w:bidi="ar-SA"/>
        </w:rPr>
      </w:pPr>
      <w:r>
        <w:rPr>
          <w:rFonts w:hint="default" w:ascii="Times New Roman" w:hAnsi="Times New Roman" w:eastAsia="仿宋" w:cs="Times New Roman"/>
          <w:sz w:val="24"/>
          <w:szCs w:val="24"/>
          <w:lang w:val="en-US" w:eastAsia="zh-CN" w:bidi="ar-SA"/>
        </w:rPr>
        <w:t>凝胶成像分析仪</w:t>
      </w:r>
      <w:r>
        <w:rPr>
          <w:rFonts w:hint="eastAsia" w:eastAsia="仿宋" w:cs="Times New Roman"/>
          <w:sz w:val="24"/>
          <w:szCs w:val="24"/>
          <w:lang w:val="en-US" w:eastAsia="zh-CN" w:bidi="ar-SA"/>
        </w:rPr>
        <w:t>。</w:t>
      </w:r>
    </w:p>
    <w:p w14:paraId="22B19A37">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0" w:leftChars="0" w:right="0" w:firstLine="480" w:firstLineChars="200"/>
        <w:jc w:val="both"/>
        <w:textAlignment w:val="auto"/>
        <w:rPr>
          <w:rFonts w:hint="default" w:ascii="Times New Roman" w:hAnsi="Times New Roman" w:eastAsia="仿宋" w:cs="Times New Roman"/>
          <w:sz w:val="24"/>
          <w:szCs w:val="24"/>
          <w:lang w:val="en-US" w:eastAsia="zh-CN" w:bidi="ar-SA"/>
        </w:rPr>
      </w:pPr>
      <w:r>
        <w:rPr>
          <w:rFonts w:hint="default" w:ascii="Times New Roman" w:hAnsi="Times New Roman" w:eastAsia="仿宋" w:cs="Times New Roman"/>
          <w:sz w:val="24"/>
          <w:szCs w:val="24"/>
          <w:lang w:val="en-US" w:eastAsia="zh-CN" w:bidi="ar-SA"/>
        </w:rPr>
        <w:t>天平：精准到0.001</w:t>
      </w:r>
      <w:r>
        <w:rPr>
          <w:rFonts w:hint="eastAsia" w:eastAsia="仿宋" w:cs="Times New Roman"/>
          <w:sz w:val="24"/>
          <w:szCs w:val="24"/>
          <w:lang w:val="en-US" w:eastAsia="zh-CN" w:bidi="ar-SA"/>
        </w:rPr>
        <w:t xml:space="preserve"> </w:t>
      </w:r>
      <w:r>
        <w:rPr>
          <w:rFonts w:hint="default" w:ascii="Times New Roman" w:hAnsi="Times New Roman" w:eastAsia="仿宋" w:cs="Times New Roman"/>
          <w:sz w:val="24"/>
          <w:szCs w:val="24"/>
          <w:lang w:val="en-US" w:eastAsia="zh-CN" w:bidi="ar-SA"/>
        </w:rPr>
        <w:t>g</w:t>
      </w:r>
      <w:r>
        <w:rPr>
          <w:rFonts w:hint="eastAsia" w:eastAsia="仿宋" w:cs="Times New Roman"/>
          <w:sz w:val="24"/>
          <w:szCs w:val="24"/>
          <w:lang w:val="en-US" w:eastAsia="zh-CN" w:bidi="ar-SA"/>
        </w:rPr>
        <w:t>。</w:t>
      </w:r>
    </w:p>
    <w:p w14:paraId="3C797C3E">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0" w:leftChars="0" w:right="0" w:firstLine="480" w:firstLineChars="200"/>
        <w:jc w:val="both"/>
        <w:textAlignment w:val="auto"/>
        <w:rPr>
          <w:rFonts w:hint="eastAsia" w:ascii="Times New Roman" w:hAnsi="Times New Roman" w:eastAsia="仿宋" w:cs="Times New Roman"/>
          <w:sz w:val="24"/>
          <w:szCs w:val="24"/>
          <w:lang w:val="en-US" w:eastAsia="zh-CN" w:bidi="ar-SA"/>
        </w:rPr>
      </w:pPr>
      <w:r>
        <w:rPr>
          <w:rFonts w:hint="default" w:ascii="Times New Roman" w:hAnsi="Times New Roman" w:eastAsia="仿宋" w:cs="Times New Roman"/>
          <w:sz w:val="24"/>
          <w:szCs w:val="24"/>
          <w:lang w:val="en-US" w:eastAsia="zh-CN" w:bidi="ar-SA"/>
        </w:rPr>
        <w:t>高压蒸汽灭菌仪：可达到标准要求的121℃、18 min灭菌条件</w:t>
      </w:r>
      <w:r>
        <w:rPr>
          <w:rFonts w:hint="eastAsia" w:eastAsia="仿宋" w:cs="Times New Roman"/>
          <w:sz w:val="24"/>
          <w:szCs w:val="24"/>
          <w:lang w:val="en-US" w:eastAsia="zh-CN" w:bidi="ar-SA"/>
        </w:rPr>
        <w:t>。</w:t>
      </w:r>
    </w:p>
    <w:p w14:paraId="7782AA75">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0" w:leftChars="0" w:right="0" w:firstLine="480" w:firstLineChars="200"/>
        <w:jc w:val="both"/>
        <w:textAlignment w:val="auto"/>
        <w:rPr>
          <w:rFonts w:hint="eastAsia" w:ascii="Times New Roman" w:hAnsi="Times New Roman" w:eastAsia="仿宋" w:cs="Times New Roman"/>
          <w:sz w:val="24"/>
          <w:szCs w:val="24"/>
          <w:lang w:val="en-US" w:eastAsia="zh-CN" w:bidi="ar-SA"/>
        </w:rPr>
      </w:pPr>
      <w:r>
        <w:rPr>
          <w:rFonts w:hint="default" w:ascii="Times New Roman" w:hAnsi="Times New Roman" w:eastAsia="仿宋" w:cs="Times New Roman"/>
          <w:sz w:val="24"/>
          <w:szCs w:val="24"/>
          <w:lang w:val="en-US" w:eastAsia="zh-CN" w:bidi="ar-SA"/>
        </w:rPr>
        <w:t>冰箱：温度调节范围为-20℃-4℃</w:t>
      </w:r>
      <w:r>
        <w:rPr>
          <w:rFonts w:hint="eastAsia" w:eastAsia="仿宋" w:cs="Times New Roman"/>
          <w:sz w:val="24"/>
          <w:szCs w:val="24"/>
          <w:lang w:val="en-US" w:eastAsia="zh-CN" w:bidi="ar-SA"/>
        </w:rPr>
        <w:t>。</w:t>
      </w:r>
    </w:p>
    <w:p w14:paraId="4258A44C">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0" w:leftChars="0" w:right="0" w:firstLine="480" w:firstLineChars="200"/>
        <w:jc w:val="both"/>
        <w:textAlignment w:val="auto"/>
        <w:rPr>
          <w:rFonts w:hint="eastAsia" w:ascii="Times New Roman" w:hAnsi="Times New Roman" w:eastAsia="仿宋" w:cs="Times New Roman"/>
          <w:sz w:val="24"/>
          <w:szCs w:val="24"/>
          <w:lang w:val="en-US" w:eastAsia="zh-CN" w:bidi="ar-SA"/>
        </w:rPr>
      </w:pPr>
      <w:r>
        <w:rPr>
          <w:rFonts w:hint="eastAsia" w:ascii="Times New Roman" w:hAnsi="Times New Roman" w:eastAsia="仿宋" w:cs="Times New Roman"/>
          <w:sz w:val="24"/>
          <w:szCs w:val="24"/>
          <w:lang w:val="en-US" w:eastAsia="zh-CN" w:bidi="ar-SA"/>
        </w:rPr>
        <w:t>冷冻干燥仪。</w:t>
      </w:r>
    </w:p>
    <w:p w14:paraId="7D992DF5">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0" w:leftChars="0" w:right="0" w:firstLine="480" w:firstLineChars="200"/>
        <w:jc w:val="both"/>
        <w:textAlignment w:val="auto"/>
        <w:rPr>
          <w:rFonts w:hint="eastAsia" w:ascii="Times New Roman" w:hAnsi="Times New Roman" w:eastAsia="仿宋" w:cs="Times New Roman"/>
          <w:sz w:val="24"/>
          <w:szCs w:val="24"/>
          <w:lang w:val="en-US" w:eastAsia="zh-CN" w:bidi="ar-SA"/>
        </w:rPr>
      </w:pPr>
      <w:r>
        <w:rPr>
          <w:rFonts w:hint="eastAsia" w:ascii="Times New Roman" w:hAnsi="Times New Roman" w:eastAsia="仿宋" w:cs="Times New Roman"/>
          <w:sz w:val="24"/>
          <w:szCs w:val="24"/>
          <w:lang w:val="en-US" w:eastAsia="zh-CN" w:bidi="ar-SA"/>
        </w:rPr>
        <w:t>微量紫外分光光度计。</w:t>
      </w:r>
    </w:p>
    <w:p w14:paraId="4906FCDE">
      <w:pPr>
        <w:pStyle w:val="15"/>
        <w:keepNext w:val="0"/>
        <w:keepLines w:val="0"/>
        <w:pageBreakBefore w:val="0"/>
        <w:widowControl w:val="0"/>
        <w:tabs>
          <w:tab w:val="center" w:pos="4201"/>
          <w:tab w:val="right" w:leader="dot" w:pos="9298"/>
        </w:tabs>
        <w:kinsoku/>
        <w:wordWrap/>
        <w:overflowPunct/>
        <w:topLinePunct w:val="0"/>
        <w:autoSpaceDE/>
        <w:autoSpaceDN/>
        <w:bidi w:val="0"/>
        <w:adjustRightInd w:val="0"/>
        <w:snapToGrid/>
        <w:spacing w:line="480" w:lineRule="exact"/>
        <w:ind w:firstLine="560"/>
        <w:textAlignment w:val="auto"/>
        <w:rPr>
          <w:rFonts w:hint="eastAsia" w:ascii="Times New Roman" w:hAnsi="Times New Roman" w:eastAsia="仿宋" w:cs="Times New Roman"/>
          <w:sz w:val="24"/>
          <w:szCs w:val="24"/>
          <w:lang w:val="en-US" w:eastAsia="zh-CN" w:bidi="ar-SA"/>
        </w:rPr>
      </w:pPr>
      <w:r>
        <w:rPr>
          <w:rFonts w:hint="eastAsia" w:ascii="Times New Roman" w:hAnsi="Times New Roman" w:eastAsia="仿宋" w:cs="Times New Roman"/>
          <w:sz w:val="24"/>
          <w:szCs w:val="24"/>
          <w:lang w:val="en-US" w:eastAsia="zh-CN" w:bidi="ar-SA"/>
        </w:rPr>
        <w:t>【条文说明】</w:t>
      </w:r>
      <w:r>
        <w:rPr>
          <w:rFonts w:hint="eastAsia" w:eastAsia="仿宋" w:cs="Times New Roman"/>
          <w:sz w:val="24"/>
          <w:szCs w:val="24"/>
          <w:lang w:val="en-US" w:eastAsia="zh-CN" w:bidi="ar-SA"/>
        </w:rPr>
        <w:t>所使用的试剂均应符合国家标准的分析纯试剂，实验用水满足国家相关标准的要求</w:t>
      </w:r>
      <w:r>
        <w:rPr>
          <w:rFonts w:hint="eastAsia" w:ascii="Times New Roman" w:hAnsi="Times New Roman" w:eastAsia="仿宋" w:cs="Times New Roman"/>
          <w:sz w:val="24"/>
          <w:szCs w:val="24"/>
          <w:lang w:val="en-US" w:eastAsia="zh-CN" w:bidi="ar-SA"/>
        </w:rPr>
        <w:t>。</w:t>
      </w:r>
    </w:p>
    <w:p w14:paraId="7F6A679D">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textAlignment w:val="auto"/>
        <w:rPr>
          <w:rFonts w:hint="default" w:eastAsia="仿宋" w:cs="Times New Roman"/>
          <w:b/>
          <w:bCs/>
          <w:color w:val="auto"/>
          <w:sz w:val="24"/>
          <w:szCs w:val="24"/>
          <w:highlight w:val="none"/>
          <w:lang w:val="en-US" w:eastAsia="zh-CN"/>
        </w:rPr>
      </w:pPr>
      <w:bookmarkStart w:id="64" w:name="_Toc72932754"/>
      <w:r>
        <w:rPr>
          <w:rFonts w:hint="eastAsia" w:eastAsia="仿宋" w:cs="Times New Roman"/>
          <w:b/>
          <w:bCs/>
          <w:color w:val="auto"/>
          <w:sz w:val="24"/>
          <w:szCs w:val="24"/>
          <w:highlight w:val="none"/>
          <w:lang w:val="en-US" w:eastAsia="zh-CN"/>
        </w:rPr>
        <w:t xml:space="preserve">5.2.5 </w:t>
      </w:r>
      <w:bookmarkEnd w:id="64"/>
      <w:r>
        <w:rPr>
          <w:rFonts w:hint="eastAsia" w:eastAsia="仿宋" w:cs="Times New Roman"/>
          <w:b/>
          <w:bCs/>
          <w:color w:val="auto"/>
          <w:sz w:val="24"/>
          <w:szCs w:val="24"/>
          <w:highlight w:val="none"/>
          <w:lang w:val="en-US" w:eastAsia="zh-CN"/>
        </w:rPr>
        <w:t>样品采集</w:t>
      </w:r>
    </w:p>
    <w:p w14:paraId="50E07A13">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textAlignment w:val="auto"/>
        <w:rPr>
          <w:rFonts w:hint="default" w:eastAsia="仿宋" w:cs="Times New Roman"/>
          <w:b/>
          <w:bCs/>
          <w:sz w:val="24"/>
          <w:szCs w:val="24"/>
          <w:lang w:val="en-US" w:eastAsia="zh-CN"/>
        </w:rPr>
      </w:pPr>
      <w:bookmarkStart w:id="65" w:name="_Toc133513161"/>
      <w:r>
        <w:rPr>
          <w:rFonts w:hint="eastAsia" w:eastAsia="仿宋" w:cs="Times New Roman"/>
          <w:b/>
          <w:bCs/>
          <w:sz w:val="24"/>
          <w:szCs w:val="24"/>
          <w:lang w:val="en-US" w:eastAsia="zh-CN"/>
        </w:rPr>
        <w:t xml:space="preserve">5.2.5.1 </w:t>
      </w:r>
      <w:r>
        <w:rPr>
          <w:rFonts w:hint="default" w:eastAsia="仿宋" w:cs="Times New Roman"/>
          <w:b/>
          <w:bCs/>
          <w:sz w:val="24"/>
          <w:szCs w:val="24"/>
          <w:lang w:val="en-US" w:eastAsia="zh-CN"/>
        </w:rPr>
        <w:t>采样点设置</w:t>
      </w:r>
      <w:bookmarkEnd w:id="65"/>
    </w:p>
    <w:p w14:paraId="7F9108B6">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0" w:leftChars="0" w:right="0" w:firstLine="480" w:firstLineChars="200"/>
        <w:jc w:val="both"/>
        <w:textAlignment w:val="auto"/>
        <w:rPr>
          <w:rFonts w:hint="eastAsia" w:ascii="Times New Roman" w:hAnsi="Times New Roman" w:eastAsia="仿宋" w:cs="Times New Roman"/>
          <w:sz w:val="24"/>
          <w:szCs w:val="24"/>
          <w:lang w:val="en-US" w:eastAsia="zh-CN" w:bidi="ar-SA"/>
        </w:rPr>
      </w:pPr>
      <w:r>
        <w:rPr>
          <w:rFonts w:hint="eastAsia" w:ascii="Times New Roman" w:hAnsi="Times New Roman" w:eastAsia="仿宋" w:cs="Times New Roman"/>
          <w:sz w:val="24"/>
          <w:szCs w:val="24"/>
          <w:lang w:val="en-US" w:eastAsia="zh-CN" w:bidi="ar-SA"/>
        </w:rPr>
        <w:t>采样点的布设原则：参照HJ 1295和HJ 1296中相关要求执行。</w:t>
      </w:r>
    </w:p>
    <w:p w14:paraId="6D941A25">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0" w:leftChars="0" w:right="0" w:firstLine="480" w:firstLineChars="200"/>
        <w:jc w:val="both"/>
        <w:textAlignment w:val="auto"/>
        <w:rPr>
          <w:rFonts w:hint="eastAsia" w:ascii="Times New Roman" w:hAnsi="Times New Roman" w:eastAsia="仿宋" w:cs="Times New Roman"/>
          <w:sz w:val="24"/>
          <w:szCs w:val="24"/>
          <w:lang w:val="en-US" w:eastAsia="zh-CN" w:bidi="ar-SA"/>
        </w:rPr>
      </w:pPr>
      <w:r>
        <w:rPr>
          <w:rFonts w:hint="eastAsia" w:ascii="Times New Roman" w:hAnsi="Times New Roman" w:eastAsia="仿宋" w:cs="Times New Roman"/>
          <w:sz w:val="24"/>
          <w:szCs w:val="24"/>
          <w:lang w:val="en-US" w:eastAsia="zh-CN" w:bidi="ar-SA"/>
        </w:rPr>
        <w:t>布设方法：</w:t>
      </w:r>
    </w:p>
    <w:p w14:paraId="620D0C2E">
      <w:pPr>
        <w:keepNext w:val="0"/>
        <w:keepLines w:val="0"/>
        <w:pageBreakBefore w:val="0"/>
        <w:widowControl w:val="0"/>
        <w:kinsoku/>
        <w:wordWrap/>
        <w:overflowPunct/>
        <w:topLinePunct w:val="0"/>
        <w:autoSpaceDE/>
        <w:autoSpaceDN/>
        <w:bidi w:val="0"/>
        <w:adjustRightInd/>
        <w:snapToGrid/>
        <w:spacing w:line="480" w:lineRule="exact"/>
        <w:ind w:left="0" w:right="0" w:firstLine="471"/>
        <w:jc w:val="both"/>
        <w:textAlignment w:val="auto"/>
        <w:rPr>
          <w:rFonts w:hint="default" w:ascii="Times New Roman" w:hAnsi="Times New Roman" w:eastAsia="仿宋" w:cs="Times New Roman"/>
          <w:sz w:val="24"/>
          <w:szCs w:val="24"/>
          <w:lang w:val="en-US" w:eastAsia="zh-CN" w:bidi="ar-SA"/>
        </w:rPr>
      </w:pPr>
      <w:r>
        <w:rPr>
          <w:rFonts w:hint="eastAsia" w:ascii="Times New Roman" w:hAnsi="Times New Roman" w:eastAsia="仿宋" w:cs="Times New Roman"/>
          <w:sz w:val="24"/>
          <w:szCs w:val="24"/>
          <w:lang w:val="en-US" w:eastAsia="zh-CN" w:bidi="ar-SA"/>
        </w:rPr>
        <w:t>1）</w:t>
      </w:r>
      <w:r>
        <w:rPr>
          <w:rFonts w:hint="default" w:ascii="Times New Roman" w:hAnsi="Times New Roman" w:eastAsia="仿宋" w:cs="Times New Roman"/>
          <w:sz w:val="24"/>
          <w:szCs w:val="24"/>
          <w:lang w:val="en-US" w:eastAsia="zh-CN" w:bidi="ar-SA"/>
        </w:rPr>
        <w:t>湖泊型水体：根据区域内湖库形态</w:t>
      </w:r>
      <w:r>
        <w:rPr>
          <w:rFonts w:hint="eastAsia" w:ascii="Times New Roman" w:hAnsi="Times New Roman" w:eastAsia="仿宋" w:cs="Times New Roman"/>
          <w:sz w:val="24"/>
          <w:szCs w:val="24"/>
          <w:lang w:val="en-US" w:eastAsia="zh-CN" w:bidi="ar-SA"/>
        </w:rPr>
        <w:t>、</w:t>
      </w:r>
      <w:r>
        <w:rPr>
          <w:rFonts w:hint="default" w:ascii="Times New Roman" w:hAnsi="Times New Roman" w:eastAsia="仿宋" w:cs="Times New Roman"/>
          <w:sz w:val="24"/>
          <w:szCs w:val="24"/>
          <w:lang w:val="en-US" w:eastAsia="zh-CN" w:bidi="ar-SA"/>
        </w:rPr>
        <w:t>水文状况、水生生物分布等因素的差异，将</w:t>
      </w:r>
      <w:r>
        <w:rPr>
          <w:rFonts w:hint="eastAsia" w:ascii="Times New Roman" w:hAnsi="Times New Roman" w:eastAsia="仿宋" w:cs="Times New Roman"/>
          <w:sz w:val="24"/>
          <w:szCs w:val="24"/>
          <w:lang w:val="en-US" w:eastAsia="zh-CN" w:bidi="ar-SA"/>
        </w:rPr>
        <w:t>湖泊</w:t>
      </w:r>
      <w:r>
        <w:rPr>
          <w:rFonts w:hint="default" w:ascii="Times New Roman" w:hAnsi="Times New Roman" w:eastAsia="仿宋" w:cs="Times New Roman"/>
          <w:sz w:val="24"/>
          <w:szCs w:val="24"/>
          <w:lang w:val="en-US" w:eastAsia="zh-CN" w:bidi="ar-SA"/>
        </w:rPr>
        <w:t>分为不同的</w:t>
      </w:r>
      <w:r>
        <w:rPr>
          <w:rFonts w:hint="eastAsia" w:ascii="Times New Roman" w:hAnsi="Times New Roman" w:eastAsia="仿宋" w:cs="Times New Roman"/>
          <w:sz w:val="24"/>
          <w:szCs w:val="24"/>
          <w:lang w:val="en-US" w:eastAsia="zh-CN" w:bidi="ar-SA"/>
        </w:rPr>
        <w:t>小</w:t>
      </w:r>
      <w:r>
        <w:rPr>
          <w:rFonts w:hint="default" w:ascii="Times New Roman" w:hAnsi="Times New Roman" w:eastAsia="仿宋" w:cs="Times New Roman"/>
          <w:sz w:val="24"/>
          <w:szCs w:val="24"/>
          <w:lang w:val="en-US" w:eastAsia="zh-CN" w:bidi="ar-SA"/>
        </w:rPr>
        <w:t>区域，如湖库滨岸带、沿岸带、湖心区、主要河流出入口等</w:t>
      </w:r>
      <w:r>
        <w:rPr>
          <w:rFonts w:hint="eastAsia" w:ascii="Times New Roman" w:hAnsi="Times New Roman" w:eastAsia="仿宋" w:cs="Times New Roman"/>
          <w:sz w:val="24"/>
          <w:szCs w:val="24"/>
          <w:lang w:val="en-US" w:eastAsia="zh-CN" w:bidi="ar-SA"/>
        </w:rPr>
        <w:t>，</w:t>
      </w:r>
      <w:r>
        <w:rPr>
          <w:rFonts w:hint="default" w:ascii="Times New Roman" w:hAnsi="Times New Roman" w:eastAsia="仿宋" w:cs="Times New Roman"/>
          <w:sz w:val="24"/>
          <w:szCs w:val="24"/>
          <w:lang w:val="en-US" w:eastAsia="zh-CN" w:bidi="ar-SA"/>
        </w:rPr>
        <w:t>湖心区</w:t>
      </w:r>
      <w:r>
        <w:rPr>
          <w:rFonts w:hint="eastAsia" w:ascii="Times New Roman" w:hAnsi="Times New Roman" w:eastAsia="仿宋" w:cs="Times New Roman"/>
          <w:sz w:val="24"/>
          <w:szCs w:val="24"/>
          <w:lang w:val="en-US" w:eastAsia="zh-CN" w:bidi="ar-SA"/>
        </w:rPr>
        <w:t>应</w:t>
      </w:r>
      <w:r>
        <w:rPr>
          <w:rFonts w:hint="default" w:ascii="Times New Roman" w:hAnsi="Times New Roman" w:eastAsia="仿宋" w:cs="Times New Roman"/>
          <w:sz w:val="24"/>
          <w:szCs w:val="24"/>
          <w:lang w:val="en-US" w:eastAsia="zh-CN" w:bidi="ar-SA"/>
        </w:rPr>
        <w:t>每2</w:t>
      </w:r>
      <w:r>
        <w:rPr>
          <w:rFonts w:hint="eastAsia" w:eastAsia="仿宋" w:cs="Times New Roman"/>
          <w:sz w:val="24"/>
          <w:szCs w:val="24"/>
          <w:lang w:val="en-US" w:eastAsia="zh-CN" w:bidi="ar-SA"/>
        </w:rPr>
        <w:t xml:space="preserve"> </w:t>
      </w:r>
      <w:r>
        <w:rPr>
          <w:rFonts w:hint="default" w:ascii="Times New Roman" w:hAnsi="Times New Roman" w:eastAsia="仿宋" w:cs="Times New Roman"/>
          <w:sz w:val="24"/>
          <w:szCs w:val="24"/>
          <w:lang w:val="en-US" w:eastAsia="zh-CN" w:bidi="ar-SA"/>
        </w:rPr>
        <w:t>km</w:t>
      </w:r>
      <w:r>
        <w:rPr>
          <w:rFonts w:hint="default" w:ascii="Times New Roman" w:hAnsi="Times New Roman" w:eastAsia="仿宋" w:cs="Times New Roman"/>
          <w:sz w:val="24"/>
          <w:szCs w:val="24"/>
          <w:vertAlign w:val="superscript"/>
          <w:lang w:val="en-US" w:eastAsia="zh-CN" w:bidi="ar-SA"/>
        </w:rPr>
        <w:t>2</w:t>
      </w:r>
      <w:r>
        <w:rPr>
          <w:rFonts w:hint="default" w:ascii="Times New Roman" w:hAnsi="Times New Roman" w:eastAsia="仿宋" w:cs="Times New Roman"/>
          <w:sz w:val="24"/>
          <w:szCs w:val="24"/>
          <w:lang w:val="en-US" w:eastAsia="zh-CN" w:bidi="ar-SA"/>
        </w:rPr>
        <w:t>设置不少于1个采样点</w:t>
      </w:r>
      <w:r>
        <w:rPr>
          <w:rFonts w:hint="eastAsia" w:ascii="Times New Roman" w:hAnsi="Times New Roman" w:eastAsia="仿宋" w:cs="Times New Roman"/>
          <w:sz w:val="24"/>
          <w:szCs w:val="24"/>
          <w:lang w:val="en-US" w:eastAsia="zh-CN" w:bidi="ar-SA"/>
        </w:rPr>
        <w:t>，其他</w:t>
      </w:r>
      <w:r>
        <w:rPr>
          <w:rFonts w:hint="default" w:ascii="Times New Roman" w:hAnsi="Times New Roman" w:eastAsia="仿宋" w:cs="Times New Roman"/>
          <w:sz w:val="24"/>
          <w:szCs w:val="24"/>
          <w:lang w:val="en-US" w:eastAsia="zh-CN" w:bidi="ar-SA"/>
        </w:rPr>
        <w:t>小区域设置</w:t>
      </w:r>
      <w:r>
        <w:rPr>
          <w:rFonts w:hint="eastAsia" w:ascii="Times New Roman" w:hAnsi="Times New Roman" w:eastAsia="仿宋" w:cs="Times New Roman"/>
          <w:sz w:val="24"/>
          <w:szCs w:val="24"/>
          <w:lang w:val="en-US" w:eastAsia="zh-CN" w:bidi="ar-SA"/>
        </w:rPr>
        <w:t xml:space="preserve">不少于1个采样点。监测点的数量可参考HJ </w:t>
      </w:r>
      <w:r>
        <w:rPr>
          <w:rFonts w:hint="default" w:ascii="Times New Roman" w:hAnsi="Times New Roman" w:eastAsia="仿宋" w:cs="Times New Roman"/>
          <w:sz w:val="24"/>
          <w:szCs w:val="24"/>
          <w:lang w:val="en-US" w:eastAsia="zh-CN" w:bidi="ar-SA"/>
        </w:rPr>
        <w:t>129</w:t>
      </w:r>
      <w:r>
        <w:rPr>
          <w:rFonts w:hint="eastAsia" w:ascii="Times New Roman" w:hAnsi="Times New Roman" w:eastAsia="仿宋" w:cs="Times New Roman"/>
          <w:sz w:val="24"/>
          <w:szCs w:val="24"/>
          <w:lang w:val="en-US" w:eastAsia="zh-CN" w:bidi="ar-SA"/>
        </w:rPr>
        <w:t>6执行。</w:t>
      </w:r>
    </w:p>
    <w:p w14:paraId="628F5829">
      <w:pPr>
        <w:keepNext w:val="0"/>
        <w:keepLines w:val="0"/>
        <w:pageBreakBefore w:val="0"/>
        <w:widowControl w:val="0"/>
        <w:kinsoku/>
        <w:wordWrap/>
        <w:overflowPunct/>
        <w:topLinePunct w:val="0"/>
        <w:autoSpaceDE/>
        <w:autoSpaceDN/>
        <w:bidi w:val="0"/>
        <w:adjustRightInd/>
        <w:snapToGrid/>
        <w:spacing w:line="480" w:lineRule="exact"/>
        <w:ind w:left="0" w:right="0" w:firstLine="471"/>
        <w:jc w:val="both"/>
        <w:textAlignment w:val="auto"/>
        <w:rPr>
          <w:rFonts w:hint="eastAsia" w:ascii="Times New Roman" w:hAnsi="Times New Roman" w:eastAsia="仿宋" w:cs="Times New Roman"/>
          <w:sz w:val="24"/>
          <w:szCs w:val="24"/>
          <w:lang w:val="en-US" w:eastAsia="zh-CN" w:bidi="ar-SA"/>
        </w:rPr>
      </w:pPr>
      <w:r>
        <w:rPr>
          <w:rFonts w:hint="default" w:ascii="Times New Roman" w:hAnsi="Times New Roman" w:eastAsia="仿宋" w:cs="Times New Roman"/>
          <w:sz w:val="24"/>
          <w:szCs w:val="24"/>
          <w:lang w:val="en-US" w:eastAsia="zh-CN" w:bidi="ar-SA"/>
        </w:rPr>
        <w:t>2）水库型水体：将水库分为入库口、出库口河口、深水区等区域，各个区域应设置不少于1个采样点，库区每15~20 km</w:t>
      </w:r>
      <w:r>
        <w:rPr>
          <w:rFonts w:hint="default" w:ascii="Times New Roman" w:hAnsi="Times New Roman" w:eastAsia="仿宋" w:cs="Times New Roman"/>
          <w:sz w:val="24"/>
          <w:szCs w:val="24"/>
          <w:vertAlign w:val="superscript"/>
          <w:lang w:val="en-US" w:eastAsia="zh-CN" w:bidi="ar-SA"/>
        </w:rPr>
        <w:t>2</w:t>
      </w:r>
      <w:r>
        <w:rPr>
          <w:rFonts w:hint="default" w:ascii="Times New Roman" w:hAnsi="Times New Roman" w:eastAsia="仿宋" w:cs="Times New Roman"/>
          <w:sz w:val="24"/>
          <w:szCs w:val="24"/>
          <w:lang w:val="en-US" w:eastAsia="zh-CN" w:bidi="ar-SA"/>
        </w:rPr>
        <w:t>设置不少于1个采样点，监测点的数量可参考HJ 1296执行。</w:t>
      </w:r>
    </w:p>
    <w:p w14:paraId="6132EA7E">
      <w:pPr>
        <w:keepNext w:val="0"/>
        <w:keepLines w:val="0"/>
        <w:pageBreakBefore w:val="0"/>
        <w:widowControl w:val="0"/>
        <w:kinsoku/>
        <w:wordWrap/>
        <w:overflowPunct/>
        <w:topLinePunct w:val="0"/>
        <w:autoSpaceDE/>
        <w:autoSpaceDN/>
        <w:bidi w:val="0"/>
        <w:adjustRightInd/>
        <w:snapToGrid/>
        <w:spacing w:line="480" w:lineRule="exact"/>
        <w:ind w:left="0" w:right="0" w:firstLine="471"/>
        <w:jc w:val="both"/>
        <w:textAlignment w:val="auto"/>
        <w:rPr>
          <w:rFonts w:hint="default" w:ascii="Times New Roman" w:hAnsi="Times New Roman" w:eastAsia="仿宋" w:cs="Times New Roman"/>
          <w:sz w:val="24"/>
          <w:szCs w:val="24"/>
          <w:lang w:val="en-US" w:eastAsia="zh-CN" w:bidi="ar-SA"/>
        </w:rPr>
      </w:pPr>
      <w:r>
        <w:rPr>
          <w:rFonts w:hint="default" w:ascii="Times New Roman" w:hAnsi="Times New Roman" w:eastAsia="仿宋" w:cs="Times New Roman"/>
          <w:sz w:val="24"/>
          <w:szCs w:val="24"/>
          <w:lang w:val="en-US" w:eastAsia="zh-CN" w:bidi="ar-SA"/>
        </w:rPr>
        <w:t>3）河流型水体：将河流划分成河口区、下游河段、中游河段、上游河段，以及支流和干流的汇口区等区域，每个区域设置不少于1个采样点。当河流宽度（K）&lt;50</w:t>
      </w:r>
      <w:r>
        <w:rPr>
          <w:rFonts w:hint="eastAsia" w:eastAsia="仿宋" w:cs="Times New Roman"/>
          <w:sz w:val="24"/>
          <w:szCs w:val="24"/>
          <w:lang w:val="en-US" w:eastAsia="zh-CN" w:bidi="ar-SA"/>
        </w:rPr>
        <w:t xml:space="preserve"> </w:t>
      </w:r>
      <w:r>
        <w:rPr>
          <w:rFonts w:hint="default" w:ascii="Times New Roman" w:hAnsi="Times New Roman" w:eastAsia="仿宋" w:cs="Times New Roman"/>
          <w:sz w:val="24"/>
          <w:szCs w:val="24"/>
          <w:lang w:val="en-US" w:eastAsia="zh-CN" w:bidi="ar-SA"/>
        </w:rPr>
        <w:t>m时，在河流中部或靠岸一侧设置1个采样点；当50</w:t>
      </w:r>
      <w:r>
        <w:rPr>
          <w:rFonts w:hint="eastAsia" w:eastAsia="仿宋" w:cs="Times New Roman"/>
          <w:sz w:val="24"/>
          <w:szCs w:val="24"/>
          <w:lang w:val="en-US" w:eastAsia="zh-CN" w:bidi="ar-SA"/>
        </w:rPr>
        <w:t xml:space="preserve"> </w:t>
      </w:r>
      <w:r>
        <w:rPr>
          <w:rFonts w:hint="default" w:ascii="Times New Roman" w:hAnsi="Times New Roman" w:eastAsia="仿宋" w:cs="Times New Roman"/>
          <w:sz w:val="24"/>
          <w:szCs w:val="24"/>
          <w:lang w:val="en-US" w:eastAsia="zh-CN" w:bidi="ar-SA"/>
        </w:rPr>
        <w:t>m≤河面宽度&lt;200</w:t>
      </w:r>
      <w:r>
        <w:rPr>
          <w:rFonts w:hint="eastAsia" w:eastAsia="仿宋" w:cs="Times New Roman"/>
          <w:sz w:val="24"/>
          <w:szCs w:val="24"/>
          <w:lang w:val="en-US" w:eastAsia="zh-CN" w:bidi="ar-SA"/>
        </w:rPr>
        <w:t xml:space="preserve"> </w:t>
      </w:r>
      <w:r>
        <w:rPr>
          <w:rFonts w:hint="default" w:ascii="Times New Roman" w:hAnsi="Times New Roman" w:eastAsia="仿宋" w:cs="Times New Roman"/>
          <w:sz w:val="24"/>
          <w:szCs w:val="24"/>
          <w:lang w:val="en-US" w:eastAsia="zh-CN" w:bidi="ar-SA"/>
        </w:rPr>
        <w:t>m以上，在河流两侧分别布设1个采样点，等比采集混合水样；当河面宽度≥200</w:t>
      </w:r>
      <w:r>
        <w:rPr>
          <w:rFonts w:hint="eastAsia" w:eastAsia="仿宋" w:cs="Times New Roman"/>
          <w:sz w:val="24"/>
          <w:szCs w:val="24"/>
          <w:lang w:val="en-US" w:eastAsia="zh-CN" w:bidi="ar-SA"/>
        </w:rPr>
        <w:t xml:space="preserve"> </w:t>
      </w:r>
      <w:r>
        <w:rPr>
          <w:rFonts w:hint="default" w:ascii="Times New Roman" w:hAnsi="Times New Roman" w:eastAsia="仿宋" w:cs="Times New Roman"/>
          <w:sz w:val="24"/>
          <w:szCs w:val="24"/>
          <w:lang w:val="en-US" w:eastAsia="zh-CN" w:bidi="ar-SA"/>
        </w:rPr>
        <w:t>m时，在河流中部和左右两侧分别设置1个采样点，等比采集混合水样。具体参照HJ 1295和HJ</w:t>
      </w:r>
      <w:r>
        <w:rPr>
          <w:rFonts w:hint="eastAsia" w:eastAsia="仿宋" w:cs="Times New Roman"/>
          <w:sz w:val="24"/>
          <w:szCs w:val="24"/>
          <w:lang w:val="en-US" w:eastAsia="zh-CN" w:bidi="ar-SA"/>
        </w:rPr>
        <w:t xml:space="preserve"> </w:t>
      </w:r>
      <w:r>
        <w:rPr>
          <w:rFonts w:hint="default" w:ascii="Times New Roman" w:hAnsi="Times New Roman" w:eastAsia="仿宋" w:cs="Times New Roman"/>
          <w:sz w:val="24"/>
          <w:szCs w:val="24"/>
          <w:lang w:val="en-US" w:eastAsia="zh-CN" w:bidi="ar-SA"/>
        </w:rPr>
        <w:t>710.8中相关要求执行。</w:t>
      </w:r>
    </w:p>
    <w:p w14:paraId="7066AB70">
      <w:pPr>
        <w:keepNext w:val="0"/>
        <w:keepLines w:val="0"/>
        <w:pageBreakBefore w:val="0"/>
        <w:widowControl w:val="0"/>
        <w:numPr>
          <w:ilvl w:val="0"/>
          <w:numId w:val="5"/>
        </w:numPr>
        <w:kinsoku/>
        <w:wordWrap/>
        <w:overflowPunct/>
        <w:topLinePunct w:val="0"/>
        <w:autoSpaceDE/>
        <w:autoSpaceDN/>
        <w:bidi w:val="0"/>
        <w:adjustRightInd/>
        <w:snapToGrid/>
        <w:spacing w:line="480" w:lineRule="exact"/>
        <w:ind w:left="0" w:leftChars="0" w:right="0" w:firstLine="420" w:firstLineChars="0"/>
        <w:jc w:val="both"/>
        <w:textAlignment w:val="auto"/>
        <w:rPr>
          <w:rFonts w:hint="eastAsia" w:ascii="Times New Roman" w:hAnsi="Times New Roman" w:eastAsia="仿宋" w:cs="Times New Roman"/>
          <w:sz w:val="24"/>
          <w:szCs w:val="24"/>
          <w:lang w:val="en-US" w:eastAsia="zh-CN" w:bidi="ar-SA"/>
        </w:rPr>
      </w:pPr>
      <w:r>
        <w:rPr>
          <w:rFonts w:hint="eastAsia" w:ascii="Times New Roman" w:hAnsi="Times New Roman" w:eastAsia="仿宋" w:cs="Times New Roman"/>
          <w:sz w:val="24"/>
          <w:szCs w:val="24"/>
          <w:lang w:val="en-US" w:eastAsia="zh-CN" w:bidi="ar-SA"/>
        </w:rPr>
        <w:t>参照点位及参照状态：参照HJ 1295中相关要求执行。</w:t>
      </w:r>
    </w:p>
    <w:p w14:paraId="68A44277">
      <w:pPr>
        <w:pStyle w:val="15"/>
        <w:keepNext w:val="0"/>
        <w:keepLines w:val="0"/>
        <w:pageBreakBefore w:val="0"/>
        <w:widowControl w:val="0"/>
        <w:tabs>
          <w:tab w:val="center" w:pos="4201"/>
          <w:tab w:val="right" w:leader="dot" w:pos="9298"/>
        </w:tabs>
        <w:kinsoku/>
        <w:wordWrap/>
        <w:overflowPunct/>
        <w:topLinePunct w:val="0"/>
        <w:autoSpaceDE/>
        <w:autoSpaceDN/>
        <w:bidi w:val="0"/>
        <w:adjustRightInd w:val="0"/>
        <w:snapToGrid/>
        <w:spacing w:line="480" w:lineRule="exact"/>
        <w:ind w:firstLine="560"/>
        <w:textAlignment w:val="auto"/>
        <w:rPr>
          <w:rFonts w:hint="eastAsia" w:ascii="Times New Roman" w:hAnsi="Times New Roman" w:eastAsia="仿宋" w:cs="Times New Roman"/>
          <w:sz w:val="24"/>
          <w:szCs w:val="24"/>
          <w:lang w:val="en-US" w:eastAsia="zh-CN" w:bidi="ar-SA"/>
        </w:rPr>
      </w:pPr>
      <w:r>
        <w:rPr>
          <w:rFonts w:hint="eastAsia" w:ascii="Times New Roman" w:hAnsi="Times New Roman" w:eastAsia="仿宋" w:cs="Times New Roman"/>
          <w:sz w:val="24"/>
          <w:szCs w:val="24"/>
          <w:lang w:val="en-US" w:eastAsia="zh-CN" w:bidi="ar-SA"/>
        </w:rPr>
        <w:t>【条文说明】采样点的设置主要参考HJ 1295</w:t>
      </w:r>
      <w:r>
        <w:rPr>
          <w:rFonts w:hint="eastAsia" w:eastAsia="仿宋" w:cs="Times New Roman"/>
          <w:sz w:val="24"/>
          <w:szCs w:val="24"/>
          <w:lang w:val="en-US" w:eastAsia="zh-CN" w:bidi="ar-SA"/>
        </w:rPr>
        <w:t>、</w:t>
      </w:r>
      <w:r>
        <w:rPr>
          <w:rFonts w:hint="eastAsia" w:ascii="Times New Roman" w:hAnsi="Times New Roman" w:eastAsia="仿宋" w:cs="Times New Roman"/>
          <w:sz w:val="24"/>
          <w:szCs w:val="24"/>
          <w:lang w:val="en-US" w:eastAsia="zh-CN" w:bidi="ar-SA"/>
        </w:rPr>
        <w:t>HJ 1296</w:t>
      </w:r>
      <w:r>
        <w:rPr>
          <w:rFonts w:hint="eastAsia" w:eastAsia="仿宋" w:cs="Times New Roman"/>
          <w:sz w:val="24"/>
          <w:szCs w:val="24"/>
          <w:lang w:val="en-US" w:eastAsia="zh-CN" w:bidi="ar-SA"/>
        </w:rPr>
        <w:t>和</w:t>
      </w:r>
      <w:r>
        <w:rPr>
          <w:rFonts w:hint="default" w:ascii="Times New Roman" w:hAnsi="Times New Roman" w:eastAsia="仿宋" w:cs="Times New Roman"/>
          <w:sz w:val="24"/>
          <w:szCs w:val="24"/>
          <w:lang w:val="en-US" w:eastAsia="zh-CN" w:bidi="ar-SA"/>
        </w:rPr>
        <w:t>HJ</w:t>
      </w:r>
      <w:r>
        <w:rPr>
          <w:rFonts w:hint="eastAsia" w:eastAsia="仿宋" w:cs="Times New Roman"/>
          <w:sz w:val="24"/>
          <w:szCs w:val="24"/>
          <w:lang w:val="en-US" w:eastAsia="zh-CN" w:bidi="ar-SA"/>
        </w:rPr>
        <w:t xml:space="preserve"> </w:t>
      </w:r>
      <w:r>
        <w:rPr>
          <w:rFonts w:hint="default" w:ascii="Times New Roman" w:hAnsi="Times New Roman" w:eastAsia="仿宋" w:cs="Times New Roman"/>
          <w:sz w:val="24"/>
          <w:szCs w:val="24"/>
          <w:lang w:val="en-US" w:eastAsia="zh-CN" w:bidi="ar-SA"/>
        </w:rPr>
        <w:t>710.8</w:t>
      </w:r>
      <w:r>
        <w:rPr>
          <w:rFonts w:hint="eastAsia" w:ascii="Times New Roman" w:hAnsi="Times New Roman" w:eastAsia="仿宋" w:cs="Times New Roman"/>
          <w:sz w:val="24"/>
          <w:szCs w:val="24"/>
          <w:lang w:val="en-US" w:eastAsia="zh-CN" w:bidi="ar-SA"/>
        </w:rPr>
        <w:t>中相关要求进行规定。</w:t>
      </w:r>
    </w:p>
    <w:p w14:paraId="34A55804">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textAlignment w:val="auto"/>
        <w:rPr>
          <w:rFonts w:hint="default" w:eastAsia="仿宋" w:cs="Times New Roman"/>
          <w:b/>
          <w:bCs/>
          <w:sz w:val="24"/>
          <w:szCs w:val="24"/>
          <w:lang w:val="en-US" w:eastAsia="zh-CN"/>
        </w:rPr>
      </w:pPr>
      <w:bookmarkStart w:id="66" w:name="_Toc133513162"/>
      <w:r>
        <w:rPr>
          <w:rFonts w:hint="eastAsia" w:eastAsia="仿宋" w:cs="Times New Roman"/>
          <w:b/>
          <w:bCs/>
          <w:sz w:val="24"/>
          <w:szCs w:val="24"/>
          <w:lang w:val="en-US" w:eastAsia="zh-CN"/>
        </w:rPr>
        <w:t xml:space="preserve">5.2.5.2 </w:t>
      </w:r>
      <w:r>
        <w:rPr>
          <w:rFonts w:hint="default" w:eastAsia="仿宋" w:cs="Times New Roman"/>
          <w:b/>
          <w:bCs/>
          <w:sz w:val="24"/>
          <w:szCs w:val="24"/>
          <w:lang w:val="en-US" w:eastAsia="zh-CN"/>
        </w:rPr>
        <w:t>采样频次与时间</w:t>
      </w:r>
      <w:bookmarkEnd w:id="66"/>
    </w:p>
    <w:p w14:paraId="20072406">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0" w:leftChars="0" w:right="0" w:firstLine="480" w:firstLineChars="200"/>
        <w:jc w:val="both"/>
        <w:textAlignment w:val="auto"/>
        <w:rPr>
          <w:rFonts w:hint="default" w:ascii="Times New Roman" w:hAnsi="Times New Roman" w:eastAsia="仿宋" w:cs="Times New Roman"/>
          <w:sz w:val="24"/>
          <w:szCs w:val="24"/>
          <w:lang w:val="en-US" w:eastAsia="zh-CN" w:bidi="ar-SA"/>
        </w:rPr>
      </w:pPr>
      <w:r>
        <w:rPr>
          <w:rFonts w:hint="eastAsia" w:ascii="Times New Roman" w:hAnsi="Times New Roman" w:eastAsia="仿宋" w:cs="Times New Roman"/>
          <w:sz w:val="24"/>
          <w:szCs w:val="24"/>
          <w:lang w:val="en-US" w:eastAsia="zh-CN" w:bidi="ar-SA"/>
        </w:rPr>
        <w:t>根据监测目的和监测条件，结合河流和湖库水文、季节、大型底栖生物群落的变化，在保证可获取具有时间代表性环境DNA样品的前提下，确定最低的监测频次和监测时间。</w:t>
      </w:r>
    </w:p>
    <w:p w14:paraId="08B771F1">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0" w:leftChars="0" w:right="0" w:firstLine="480" w:firstLineChars="200"/>
        <w:jc w:val="both"/>
        <w:textAlignment w:val="auto"/>
        <w:rPr>
          <w:rFonts w:hint="default" w:ascii="Times New Roman" w:hAnsi="Times New Roman" w:eastAsia="仿宋" w:cs="Times New Roman"/>
          <w:sz w:val="24"/>
          <w:szCs w:val="24"/>
          <w:lang w:val="en-US" w:eastAsia="zh-CN" w:bidi="ar-SA"/>
        </w:rPr>
      </w:pPr>
      <w:r>
        <w:rPr>
          <w:rFonts w:hint="eastAsia" w:ascii="Times New Roman" w:hAnsi="Times New Roman" w:eastAsia="仿宋" w:cs="Times New Roman"/>
          <w:sz w:val="24"/>
          <w:szCs w:val="24"/>
          <w:lang w:val="en-US" w:eastAsia="zh-CN" w:bidi="ar-SA"/>
        </w:rPr>
        <w:t>根据实际调查任务需要，可按水期（丰水期</w:t>
      </w:r>
      <w:r>
        <w:rPr>
          <w:rFonts w:hint="eastAsia" w:eastAsia="仿宋" w:cs="Times New Roman"/>
          <w:sz w:val="24"/>
          <w:szCs w:val="24"/>
          <w:lang w:val="en-US" w:eastAsia="zh-CN" w:bidi="ar-SA"/>
        </w:rPr>
        <w:t>、</w:t>
      </w:r>
      <w:r>
        <w:rPr>
          <w:rFonts w:hint="eastAsia" w:ascii="Times New Roman" w:hAnsi="Times New Roman" w:eastAsia="仿宋" w:cs="Times New Roman"/>
          <w:sz w:val="24"/>
          <w:szCs w:val="24"/>
          <w:lang w:val="en-US" w:eastAsia="zh-CN" w:bidi="ar-SA"/>
        </w:rPr>
        <w:t>平水期</w:t>
      </w:r>
      <w:r>
        <w:rPr>
          <w:rFonts w:hint="eastAsia" w:eastAsia="仿宋" w:cs="Times New Roman"/>
          <w:sz w:val="24"/>
          <w:szCs w:val="24"/>
          <w:lang w:val="en-US" w:eastAsia="zh-CN" w:bidi="ar-SA"/>
        </w:rPr>
        <w:t>、</w:t>
      </w:r>
      <w:r>
        <w:rPr>
          <w:rFonts w:hint="eastAsia" w:ascii="Times New Roman" w:hAnsi="Times New Roman" w:eastAsia="仿宋" w:cs="Times New Roman"/>
          <w:sz w:val="24"/>
          <w:szCs w:val="24"/>
          <w:lang w:val="en-US" w:eastAsia="zh-CN" w:bidi="ar-SA"/>
        </w:rPr>
        <w:t>枯水期）、季</w:t>
      </w:r>
      <w:r>
        <w:rPr>
          <w:rFonts w:hint="eastAsia" w:eastAsia="仿宋" w:cs="Times New Roman"/>
          <w:sz w:val="24"/>
          <w:szCs w:val="24"/>
          <w:lang w:val="en-US" w:eastAsia="zh-CN" w:bidi="ar-SA"/>
        </w:rPr>
        <w:t>度</w:t>
      </w:r>
      <w:r>
        <w:rPr>
          <w:rFonts w:hint="eastAsia" w:ascii="Times New Roman" w:hAnsi="Times New Roman" w:eastAsia="仿宋" w:cs="Times New Roman"/>
          <w:sz w:val="24"/>
          <w:szCs w:val="24"/>
          <w:lang w:val="en-US" w:eastAsia="zh-CN" w:bidi="ar-SA"/>
        </w:rPr>
        <w:t>（</w:t>
      </w:r>
      <w:r>
        <w:rPr>
          <w:rFonts w:hint="default" w:ascii="Times New Roman" w:hAnsi="Times New Roman" w:eastAsia="仿宋" w:cs="Times New Roman"/>
          <w:sz w:val="24"/>
          <w:szCs w:val="24"/>
          <w:lang w:val="en-US" w:eastAsia="zh-CN" w:bidi="ar-SA"/>
        </w:rPr>
        <w:t>每</w:t>
      </w:r>
      <w:r>
        <w:rPr>
          <w:rFonts w:hint="eastAsia" w:ascii="Times New Roman" w:hAnsi="Times New Roman" w:eastAsia="仿宋" w:cs="Times New Roman"/>
          <w:sz w:val="24"/>
          <w:szCs w:val="24"/>
          <w:lang w:val="en-US" w:eastAsia="zh-CN" w:bidi="ar-SA"/>
        </w:rPr>
        <w:t>三</w:t>
      </w:r>
      <w:r>
        <w:rPr>
          <w:rFonts w:hint="default" w:ascii="Times New Roman" w:hAnsi="Times New Roman" w:eastAsia="仿宋" w:cs="Times New Roman"/>
          <w:sz w:val="24"/>
          <w:szCs w:val="24"/>
          <w:lang w:val="en-US" w:eastAsia="zh-CN" w:bidi="ar-SA"/>
        </w:rPr>
        <w:t>月一次</w:t>
      </w:r>
      <w:r>
        <w:rPr>
          <w:rFonts w:hint="eastAsia" w:ascii="Times New Roman" w:hAnsi="Times New Roman" w:eastAsia="仿宋" w:cs="Times New Roman"/>
          <w:sz w:val="24"/>
          <w:szCs w:val="24"/>
          <w:lang w:val="en-US" w:eastAsia="zh-CN" w:bidi="ar-SA"/>
        </w:rPr>
        <w:t>）或</w:t>
      </w:r>
      <w:r>
        <w:rPr>
          <w:rFonts w:hint="default" w:ascii="Times New Roman" w:hAnsi="Times New Roman" w:eastAsia="仿宋" w:cs="Times New Roman"/>
          <w:sz w:val="24"/>
          <w:szCs w:val="24"/>
          <w:lang w:val="en-US" w:eastAsia="zh-CN" w:bidi="ar-SA"/>
        </w:rPr>
        <w:t>月度（每月一次）</w:t>
      </w:r>
      <w:r>
        <w:rPr>
          <w:rFonts w:hint="eastAsia" w:ascii="Times New Roman" w:hAnsi="Times New Roman" w:eastAsia="仿宋" w:cs="Times New Roman"/>
          <w:sz w:val="24"/>
          <w:szCs w:val="24"/>
          <w:lang w:val="en-US" w:eastAsia="zh-CN" w:bidi="ar-SA"/>
        </w:rPr>
        <w:t>选择监测频次和监测时间</w:t>
      </w:r>
      <w:r>
        <w:rPr>
          <w:rFonts w:hint="default" w:ascii="Times New Roman" w:hAnsi="Times New Roman" w:eastAsia="仿宋" w:cs="Times New Roman"/>
          <w:sz w:val="24"/>
          <w:szCs w:val="24"/>
          <w:lang w:val="en-US" w:eastAsia="zh-CN" w:bidi="ar-SA"/>
        </w:rPr>
        <w:t>。针对重点关注区域和突发环境问题，可每日/周监测</w:t>
      </w:r>
      <w:r>
        <w:rPr>
          <w:rFonts w:hint="eastAsia" w:ascii="Times New Roman" w:hAnsi="Times New Roman" w:eastAsia="仿宋" w:cs="Times New Roman"/>
          <w:sz w:val="24"/>
          <w:szCs w:val="24"/>
          <w:lang w:val="en-US" w:eastAsia="zh-CN" w:bidi="ar-SA"/>
        </w:rPr>
        <w:t>开展阶段性监测</w:t>
      </w:r>
      <w:r>
        <w:rPr>
          <w:rFonts w:hint="default" w:ascii="Times New Roman" w:hAnsi="Times New Roman" w:eastAsia="仿宋" w:cs="Times New Roman"/>
          <w:sz w:val="24"/>
          <w:szCs w:val="24"/>
          <w:lang w:val="en-US" w:eastAsia="zh-CN" w:bidi="ar-SA"/>
        </w:rPr>
        <w:t>。</w:t>
      </w:r>
    </w:p>
    <w:p w14:paraId="79F08EE7">
      <w:pPr>
        <w:pStyle w:val="15"/>
        <w:keepNext w:val="0"/>
        <w:keepLines w:val="0"/>
        <w:pageBreakBefore w:val="0"/>
        <w:widowControl w:val="0"/>
        <w:tabs>
          <w:tab w:val="center" w:pos="4201"/>
          <w:tab w:val="right" w:leader="dot" w:pos="9298"/>
        </w:tabs>
        <w:kinsoku/>
        <w:wordWrap/>
        <w:overflowPunct/>
        <w:topLinePunct w:val="0"/>
        <w:autoSpaceDE/>
        <w:autoSpaceDN/>
        <w:bidi w:val="0"/>
        <w:adjustRightInd w:val="0"/>
        <w:snapToGrid/>
        <w:spacing w:line="480" w:lineRule="exact"/>
        <w:ind w:firstLine="560"/>
        <w:textAlignment w:val="auto"/>
        <w:rPr>
          <w:rFonts w:hint="eastAsia" w:ascii="Times New Roman" w:hAnsi="Times New Roman" w:eastAsia="仿宋" w:cs="Times New Roman"/>
          <w:sz w:val="24"/>
          <w:szCs w:val="24"/>
          <w:lang w:val="en-US" w:eastAsia="zh-CN" w:bidi="ar-SA"/>
        </w:rPr>
      </w:pPr>
      <w:r>
        <w:rPr>
          <w:rFonts w:hint="eastAsia" w:ascii="Times New Roman" w:hAnsi="Times New Roman" w:eastAsia="仿宋" w:cs="Times New Roman"/>
          <w:sz w:val="24"/>
          <w:szCs w:val="24"/>
          <w:lang w:val="en-US" w:eastAsia="zh-CN" w:bidi="ar-SA"/>
        </w:rPr>
        <w:t>【条文说明】采样频次和时间需要根据实际的调查任务进行确定</w:t>
      </w:r>
      <w:r>
        <w:rPr>
          <w:rFonts w:hint="eastAsia" w:eastAsia="仿宋" w:cs="Times New Roman"/>
          <w:sz w:val="24"/>
          <w:szCs w:val="24"/>
          <w:lang w:val="en-US" w:eastAsia="zh-CN" w:bidi="ar-SA"/>
        </w:rPr>
        <w:t>，</w:t>
      </w:r>
      <w:r>
        <w:rPr>
          <w:rFonts w:hint="eastAsia" w:ascii="Times New Roman" w:hAnsi="Times New Roman" w:eastAsia="仿宋" w:cs="Times New Roman"/>
          <w:sz w:val="24"/>
          <w:szCs w:val="24"/>
          <w:lang w:val="en-US" w:eastAsia="zh-CN" w:bidi="ar-SA"/>
        </w:rPr>
        <w:t>可按水期（以星子站作为鄱阳湖代表性测站，当星子站水位大于17.00</w:t>
      </w:r>
      <w:r>
        <w:rPr>
          <w:rFonts w:hint="eastAsia" w:eastAsia="仿宋" w:cs="Times New Roman"/>
          <w:sz w:val="24"/>
          <w:szCs w:val="24"/>
          <w:lang w:val="en-US" w:eastAsia="zh-CN" w:bidi="ar-SA"/>
        </w:rPr>
        <w:t xml:space="preserve"> </w:t>
      </w:r>
      <w:r>
        <w:rPr>
          <w:rFonts w:hint="eastAsia" w:ascii="Times New Roman" w:hAnsi="Times New Roman" w:eastAsia="仿宋" w:cs="Times New Roman"/>
          <w:sz w:val="24"/>
          <w:szCs w:val="24"/>
          <w:lang w:val="en-US" w:eastAsia="zh-CN" w:bidi="ar-SA"/>
        </w:rPr>
        <w:t>m时为丰水期，13.01～16.00</w:t>
      </w:r>
      <w:r>
        <w:rPr>
          <w:rFonts w:hint="eastAsia" w:eastAsia="仿宋" w:cs="Times New Roman"/>
          <w:sz w:val="24"/>
          <w:szCs w:val="24"/>
          <w:lang w:val="en-US" w:eastAsia="zh-CN" w:bidi="ar-SA"/>
        </w:rPr>
        <w:t xml:space="preserve"> </w:t>
      </w:r>
      <w:r>
        <w:rPr>
          <w:rFonts w:hint="eastAsia" w:ascii="Times New Roman" w:hAnsi="Times New Roman" w:eastAsia="仿宋" w:cs="Times New Roman"/>
          <w:sz w:val="24"/>
          <w:szCs w:val="24"/>
          <w:lang w:val="en-US" w:eastAsia="zh-CN" w:bidi="ar-SA"/>
        </w:rPr>
        <w:t>m为平水期，小于12.00</w:t>
      </w:r>
      <w:r>
        <w:rPr>
          <w:rFonts w:hint="eastAsia" w:eastAsia="仿宋" w:cs="Times New Roman"/>
          <w:sz w:val="24"/>
          <w:szCs w:val="24"/>
          <w:lang w:val="en-US" w:eastAsia="zh-CN" w:bidi="ar-SA"/>
        </w:rPr>
        <w:t xml:space="preserve"> </w:t>
      </w:r>
      <w:r>
        <w:rPr>
          <w:rFonts w:hint="eastAsia" w:ascii="Times New Roman" w:hAnsi="Times New Roman" w:eastAsia="仿宋" w:cs="Times New Roman"/>
          <w:sz w:val="24"/>
          <w:szCs w:val="24"/>
          <w:lang w:val="en-US" w:eastAsia="zh-CN" w:bidi="ar-SA"/>
        </w:rPr>
        <w:t>m（含12.00</w:t>
      </w:r>
      <w:r>
        <w:rPr>
          <w:rFonts w:hint="eastAsia" w:eastAsia="仿宋" w:cs="Times New Roman"/>
          <w:sz w:val="24"/>
          <w:szCs w:val="24"/>
          <w:lang w:val="en-US" w:eastAsia="zh-CN" w:bidi="ar-SA"/>
        </w:rPr>
        <w:t xml:space="preserve"> </w:t>
      </w:r>
      <w:r>
        <w:rPr>
          <w:rFonts w:hint="eastAsia" w:ascii="Times New Roman" w:hAnsi="Times New Roman" w:eastAsia="仿宋" w:cs="Times New Roman"/>
          <w:sz w:val="24"/>
          <w:szCs w:val="24"/>
          <w:lang w:val="en-US" w:eastAsia="zh-CN" w:bidi="ar-SA"/>
        </w:rPr>
        <w:t>m）为枯水期，16.01～17.00</w:t>
      </w:r>
      <w:r>
        <w:rPr>
          <w:rFonts w:hint="eastAsia" w:eastAsia="仿宋" w:cs="Times New Roman"/>
          <w:sz w:val="24"/>
          <w:szCs w:val="24"/>
          <w:lang w:val="en-US" w:eastAsia="zh-CN" w:bidi="ar-SA"/>
        </w:rPr>
        <w:t xml:space="preserve"> </w:t>
      </w:r>
      <w:r>
        <w:rPr>
          <w:rFonts w:hint="eastAsia" w:ascii="Times New Roman" w:hAnsi="Times New Roman" w:eastAsia="仿宋" w:cs="Times New Roman"/>
          <w:sz w:val="24"/>
          <w:szCs w:val="24"/>
          <w:lang w:val="en-US" w:eastAsia="zh-CN" w:bidi="ar-SA"/>
        </w:rPr>
        <w:t>m为平-丰过渡期，12.01～13.00</w:t>
      </w:r>
      <w:r>
        <w:rPr>
          <w:rFonts w:hint="eastAsia" w:eastAsia="仿宋" w:cs="Times New Roman"/>
          <w:sz w:val="24"/>
          <w:szCs w:val="24"/>
          <w:lang w:val="en-US" w:eastAsia="zh-CN" w:bidi="ar-SA"/>
        </w:rPr>
        <w:t xml:space="preserve"> </w:t>
      </w:r>
      <w:r>
        <w:rPr>
          <w:rFonts w:hint="eastAsia" w:ascii="Times New Roman" w:hAnsi="Times New Roman" w:eastAsia="仿宋" w:cs="Times New Roman"/>
          <w:sz w:val="24"/>
          <w:szCs w:val="24"/>
          <w:lang w:val="en-US" w:eastAsia="zh-CN" w:bidi="ar-SA"/>
        </w:rPr>
        <w:t>m为枯-平过渡期）、季</w:t>
      </w:r>
      <w:r>
        <w:rPr>
          <w:rFonts w:hint="eastAsia" w:eastAsia="仿宋" w:cs="Times New Roman"/>
          <w:sz w:val="24"/>
          <w:szCs w:val="24"/>
          <w:lang w:val="en-US" w:eastAsia="zh-CN" w:bidi="ar-SA"/>
        </w:rPr>
        <w:t>度</w:t>
      </w:r>
      <w:r>
        <w:rPr>
          <w:rFonts w:hint="eastAsia" w:ascii="Times New Roman" w:hAnsi="Times New Roman" w:eastAsia="仿宋" w:cs="Times New Roman"/>
          <w:sz w:val="24"/>
          <w:szCs w:val="24"/>
          <w:lang w:val="en-US" w:eastAsia="zh-CN" w:bidi="ar-SA"/>
        </w:rPr>
        <w:t>（</w:t>
      </w:r>
      <w:r>
        <w:rPr>
          <w:rFonts w:hint="default" w:ascii="Times New Roman" w:hAnsi="Times New Roman" w:eastAsia="仿宋" w:cs="Times New Roman"/>
          <w:sz w:val="24"/>
          <w:szCs w:val="24"/>
          <w:lang w:val="en-US" w:eastAsia="zh-CN" w:bidi="ar-SA"/>
        </w:rPr>
        <w:t>每</w:t>
      </w:r>
      <w:r>
        <w:rPr>
          <w:rFonts w:hint="eastAsia" w:ascii="Times New Roman" w:hAnsi="Times New Roman" w:eastAsia="仿宋" w:cs="Times New Roman"/>
          <w:sz w:val="24"/>
          <w:szCs w:val="24"/>
          <w:lang w:val="en-US" w:eastAsia="zh-CN" w:bidi="ar-SA"/>
        </w:rPr>
        <w:t>三</w:t>
      </w:r>
      <w:r>
        <w:rPr>
          <w:rFonts w:hint="default" w:ascii="Times New Roman" w:hAnsi="Times New Roman" w:eastAsia="仿宋" w:cs="Times New Roman"/>
          <w:sz w:val="24"/>
          <w:szCs w:val="24"/>
          <w:lang w:val="en-US" w:eastAsia="zh-CN" w:bidi="ar-SA"/>
        </w:rPr>
        <w:t>月一次</w:t>
      </w:r>
      <w:r>
        <w:rPr>
          <w:rFonts w:hint="eastAsia" w:ascii="Times New Roman" w:hAnsi="Times New Roman" w:eastAsia="仿宋" w:cs="Times New Roman"/>
          <w:sz w:val="24"/>
          <w:szCs w:val="24"/>
          <w:lang w:val="en-US" w:eastAsia="zh-CN" w:bidi="ar-SA"/>
        </w:rPr>
        <w:t>）或</w:t>
      </w:r>
      <w:r>
        <w:rPr>
          <w:rFonts w:hint="default" w:ascii="Times New Roman" w:hAnsi="Times New Roman" w:eastAsia="仿宋" w:cs="Times New Roman"/>
          <w:sz w:val="24"/>
          <w:szCs w:val="24"/>
          <w:lang w:val="en-US" w:eastAsia="zh-CN" w:bidi="ar-SA"/>
        </w:rPr>
        <w:t>月度（每月一次）</w:t>
      </w:r>
      <w:r>
        <w:rPr>
          <w:rFonts w:hint="eastAsia" w:ascii="Times New Roman" w:hAnsi="Times New Roman" w:eastAsia="仿宋" w:cs="Times New Roman"/>
          <w:sz w:val="24"/>
          <w:szCs w:val="24"/>
          <w:lang w:val="en-US" w:eastAsia="zh-CN" w:bidi="ar-SA"/>
        </w:rPr>
        <w:t>选择监测频次和监测时间</w:t>
      </w:r>
      <w:r>
        <w:rPr>
          <w:rFonts w:hint="default" w:ascii="Times New Roman" w:hAnsi="Times New Roman" w:eastAsia="仿宋" w:cs="Times New Roman"/>
          <w:sz w:val="24"/>
          <w:szCs w:val="24"/>
          <w:lang w:val="en-US" w:eastAsia="zh-CN" w:bidi="ar-SA"/>
        </w:rPr>
        <w:t>。针对重点关注区域和突发环境问题，可每日/周监测</w:t>
      </w:r>
      <w:r>
        <w:rPr>
          <w:rFonts w:hint="eastAsia" w:ascii="Times New Roman" w:hAnsi="Times New Roman" w:eastAsia="仿宋" w:cs="Times New Roman"/>
          <w:sz w:val="24"/>
          <w:szCs w:val="24"/>
          <w:lang w:val="en-US" w:eastAsia="zh-CN" w:bidi="ar-SA"/>
        </w:rPr>
        <w:t>开展阶段性监测。</w:t>
      </w:r>
    </w:p>
    <w:p w14:paraId="2F32B393">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textAlignment w:val="auto"/>
        <w:rPr>
          <w:rFonts w:hint="default" w:eastAsia="仿宋" w:cs="Times New Roman"/>
          <w:b/>
          <w:bCs/>
          <w:sz w:val="24"/>
          <w:szCs w:val="24"/>
          <w:lang w:val="en-US" w:eastAsia="zh-CN"/>
        </w:rPr>
      </w:pPr>
      <w:bookmarkStart w:id="67" w:name="_Toc133513163"/>
      <w:r>
        <w:rPr>
          <w:rFonts w:hint="eastAsia" w:eastAsia="仿宋" w:cs="Times New Roman"/>
          <w:b/>
          <w:bCs/>
          <w:sz w:val="24"/>
          <w:szCs w:val="24"/>
          <w:lang w:val="en-US" w:eastAsia="zh-CN"/>
        </w:rPr>
        <w:t xml:space="preserve">5.2.5.3 </w:t>
      </w:r>
      <w:r>
        <w:rPr>
          <w:rFonts w:hint="default" w:eastAsia="仿宋" w:cs="Times New Roman"/>
          <w:b/>
          <w:bCs/>
          <w:sz w:val="24"/>
          <w:szCs w:val="24"/>
          <w:lang w:val="en-US" w:eastAsia="zh-CN"/>
        </w:rPr>
        <w:t>样品采集</w:t>
      </w:r>
      <w:bookmarkEnd w:id="67"/>
    </w:p>
    <w:p w14:paraId="76E7F2F2">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480" w:firstLineChars="200"/>
        <w:jc w:val="both"/>
        <w:textAlignment w:val="auto"/>
        <w:outlineLvl w:val="9"/>
        <w:rPr>
          <w:rFonts w:hint="default" w:ascii="Times New Roman" w:hAnsi="Times New Roman" w:eastAsia="仿宋" w:cs="Times New Roman"/>
          <w:sz w:val="24"/>
          <w:szCs w:val="24"/>
          <w:lang w:val="en-US" w:eastAsia="zh-CN" w:bidi="ar-SA"/>
        </w:rPr>
      </w:pPr>
      <w:r>
        <w:rPr>
          <w:rFonts w:hint="default" w:ascii="Times New Roman" w:hAnsi="Times New Roman" w:eastAsia="仿宋" w:cs="Times New Roman"/>
          <w:sz w:val="24"/>
          <w:szCs w:val="24"/>
          <w:lang w:val="en-US" w:eastAsia="zh-CN" w:bidi="ar-SA"/>
        </w:rPr>
        <w:t>环境DNA</w:t>
      </w:r>
      <w:r>
        <w:rPr>
          <w:rFonts w:hint="eastAsia" w:ascii="Times New Roman" w:hAnsi="Times New Roman" w:eastAsia="仿宋" w:cs="Times New Roman"/>
          <w:sz w:val="24"/>
          <w:szCs w:val="24"/>
          <w:lang w:val="en-US" w:eastAsia="zh-CN" w:bidi="ar-SA"/>
        </w:rPr>
        <w:t>样品</w:t>
      </w:r>
      <w:r>
        <w:rPr>
          <w:rFonts w:hint="default" w:ascii="Times New Roman" w:hAnsi="Times New Roman" w:eastAsia="仿宋" w:cs="Times New Roman"/>
          <w:sz w:val="24"/>
          <w:szCs w:val="24"/>
          <w:lang w:val="en-US" w:eastAsia="zh-CN" w:bidi="ar-SA"/>
        </w:rPr>
        <w:t>采样取决于生态系统类型和靶向监测类群。不同的栖息地和生物群需采集不同来源的环境DNA</w:t>
      </w:r>
      <w:r>
        <w:rPr>
          <w:rFonts w:hint="eastAsia" w:ascii="Times New Roman" w:hAnsi="Times New Roman" w:eastAsia="仿宋" w:cs="Times New Roman"/>
          <w:sz w:val="24"/>
          <w:szCs w:val="24"/>
          <w:lang w:val="en-US" w:eastAsia="zh-CN" w:bidi="ar-SA"/>
        </w:rPr>
        <w:t>样品</w:t>
      </w:r>
      <w:r>
        <w:rPr>
          <w:rFonts w:hint="default" w:ascii="Times New Roman" w:hAnsi="Times New Roman" w:eastAsia="仿宋" w:cs="Times New Roman"/>
          <w:sz w:val="24"/>
          <w:szCs w:val="24"/>
          <w:lang w:val="en-US" w:eastAsia="zh-CN" w:bidi="ar-SA"/>
        </w:rPr>
        <w:t>，目前主要从</w:t>
      </w:r>
      <w:r>
        <w:rPr>
          <w:rFonts w:hint="eastAsia" w:ascii="Times New Roman" w:hAnsi="Times New Roman" w:eastAsia="仿宋" w:cs="Times New Roman"/>
          <w:sz w:val="24"/>
          <w:szCs w:val="24"/>
          <w:lang w:val="en-US" w:eastAsia="zh-CN" w:bidi="ar-SA"/>
        </w:rPr>
        <w:t>以下</w:t>
      </w:r>
      <w:r>
        <w:rPr>
          <w:rFonts w:hint="default" w:ascii="Times New Roman" w:hAnsi="Times New Roman" w:eastAsia="仿宋" w:cs="Times New Roman"/>
          <w:sz w:val="24"/>
          <w:szCs w:val="24"/>
          <w:lang w:val="en-US" w:eastAsia="zh-CN" w:bidi="ar-SA"/>
        </w:rPr>
        <w:t>3种环境样本中分离DNA用于大型底栖</w:t>
      </w:r>
      <w:r>
        <w:rPr>
          <w:rFonts w:hint="eastAsia" w:ascii="Times New Roman" w:hAnsi="Times New Roman" w:eastAsia="仿宋" w:cs="Times New Roman"/>
          <w:sz w:val="24"/>
          <w:szCs w:val="24"/>
          <w:lang w:val="en-US" w:eastAsia="zh-CN" w:bidi="ar-SA"/>
        </w:rPr>
        <w:t>生物</w:t>
      </w:r>
      <w:r>
        <w:rPr>
          <w:rFonts w:hint="default" w:ascii="Times New Roman" w:hAnsi="Times New Roman" w:eastAsia="仿宋" w:cs="Times New Roman"/>
          <w:sz w:val="24"/>
          <w:szCs w:val="24"/>
          <w:lang w:val="en-US" w:eastAsia="zh-CN" w:bidi="ar-SA"/>
        </w:rPr>
        <w:t>的监测，可根据实际情况选择环境样本。</w:t>
      </w:r>
    </w:p>
    <w:p w14:paraId="12DDB094">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0" w:leftChars="0" w:right="0" w:firstLine="480" w:firstLineChars="200"/>
        <w:jc w:val="both"/>
        <w:textAlignment w:val="auto"/>
        <w:outlineLvl w:val="9"/>
        <w:rPr>
          <w:rFonts w:hint="eastAsia" w:ascii="Times New Roman" w:hAnsi="Times New Roman" w:eastAsia="仿宋" w:cs="Times New Roman"/>
          <w:sz w:val="24"/>
          <w:szCs w:val="24"/>
          <w:lang w:val="en-US" w:eastAsia="zh-CN" w:bidi="ar-SA"/>
        </w:rPr>
      </w:pPr>
      <w:r>
        <w:rPr>
          <w:rFonts w:hint="default" w:ascii="Times New Roman" w:hAnsi="Times New Roman" w:eastAsia="仿宋" w:cs="Times New Roman"/>
          <w:sz w:val="24"/>
          <w:szCs w:val="24"/>
          <w:lang w:val="en-US" w:eastAsia="zh-CN" w:bidi="ar-SA"/>
        </w:rPr>
        <w:t>水样</w:t>
      </w:r>
      <w:bookmarkStart w:id="68" w:name="_Toc8875"/>
    </w:p>
    <w:p w14:paraId="2C838F5F">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480" w:firstLineChars="200"/>
        <w:jc w:val="both"/>
        <w:textAlignment w:val="auto"/>
        <w:outlineLvl w:val="9"/>
        <w:rPr>
          <w:rFonts w:hint="eastAsia" w:ascii="Times New Roman" w:hAnsi="Times New Roman" w:eastAsia="仿宋" w:cs="Times New Roman"/>
          <w:sz w:val="24"/>
          <w:szCs w:val="24"/>
          <w:lang w:val="en-US" w:eastAsia="zh-CN" w:bidi="ar-SA"/>
        </w:rPr>
      </w:pPr>
      <w:r>
        <w:rPr>
          <w:rFonts w:hint="eastAsia" w:ascii="Times New Roman" w:hAnsi="Times New Roman" w:eastAsia="仿宋" w:cs="Times New Roman"/>
          <w:sz w:val="24"/>
          <w:szCs w:val="24"/>
          <w:lang w:val="en-US" w:eastAsia="zh-CN" w:bidi="ar-SA"/>
        </w:rPr>
        <w:t>大型底栖eDNA样品在距离岸边0.5 m处采集。当水深（h）＜0.5 m时，在1/2水深处采样；当水深（h）&gt;0.5 m时，在水底上0.5 m处采样。采样人佩戴一次性乳胶手套，将1 L的灭菌采样瓶瓶口向上游来水方向，采集1 L水样（可视水样干净程度增加或减少采样量）。采样瓶装满后应密封并做标记。为了保证eDNA数据的可靠性，每个采样位点至少有5个重复。</w:t>
      </w:r>
      <w:bookmarkEnd w:id="68"/>
      <w:bookmarkStart w:id="69" w:name="_Toc25514"/>
    </w:p>
    <w:p w14:paraId="27CA127E">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480" w:firstLineChars="200"/>
        <w:jc w:val="both"/>
        <w:textAlignment w:val="auto"/>
        <w:outlineLvl w:val="9"/>
        <w:rPr>
          <w:rFonts w:hint="default" w:ascii="Times New Roman" w:hAnsi="Times New Roman" w:eastAsia="仿宋" w:cs="Times New Roman"/>
          <w:sz w:val="24"/>
          <w:szCs w:val="24"/>
          <w:lang w:val="en-US" w:eastAsia="zh-CN" w:bidi="ar-SA"/>
        </w:rPr>
      </w:pPr>
      <w:r>
        <w:rPr>
          <w:rFonts w:hint="default" w:ascii="Times New Roman" w:hAnsi="Times New Roman" w:eastAsia="仿宋" w:cs="Times New Roman"/>
          <w:sz w:val="24"/>
          <w:szCs w:val="24"/>
          <w:lang w:val="en-US" w:eastAsia="zh-CN" w:bidi="ar-SA"/>
        </w:rPr>
        <w:t>水体推荐现场完成eDNA的过滤富集，滤膜低温（≤4℃）冷藏运输，当天返回实验室后-20℃～-80℃保存。未现场过滤的，水体应低温（4℃）冷藏运输，并在6 h内返回实验室，24 h内完成过滤，滤膜-20℃～-80℃保存。当水环境澄清、透明度较高时，宜适当增加滤膜过滤水量，每张滤膜最多抽滤2 L水；当水体藻类明显较多时（如藻华爆发期），滤膜容易堵孔，宜酌情减少滤膜过滤水量同时增加样点的滤膜数量，每张滤膜抽滤体积可减少至250 mL，每个样点滤膜数量应增加至15~20张；当水体泥沙/颗粒物较多时，宜静置后过滤，过滤条件参考藻华爆发期的过滤方法。</w:t>
      </w:r>
      <w:bookmarkEnd w:id="69"/>
    </w:p>
    <w:p w14:paraId="59A3F934">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0" w:leftChars="0" w:right="0" w:firstLine="480" w:firstLineChars="200"/>
        <w:jc w:val="both"/>
        <w:textAlignment w:val="auto"/>
        <w:outlineLvl w:val="9"/>
        <w:rPr>
          <w:rFonts w:hint="default" w:ascii="Times New Roman" w:hAnsi="Times New Roman" w:eastAsia="仿宋" w:cs="Times New Roman"/>
          <w:sz w:val="24"/>
          <w:szCs w:val="24"/>
          <w:lang w:val="en-US" w:eastAsia="zh-CN" w:bidi="ar-SA"/>
        </w:rPr>
      </w:pPr>
      <w:r>
        <w:rPr>
          <w:rFonts w:hint="default" w:ascii="Times New Roman" w:hAnsi="Times New Roman" w:eastAsia="仿宋" w:cs="Times New Roman"/>
          <w:sz w:val="24"/>
          <w:szCs w:val="24"/>
          <w:lang w:val="en-US" w:eastAsia="zh-CN" w:bidi="ar-SA"/>
        </w:rPr>
        <w:t>沉积物样品</w:t>
      </w:r>
    </w:p>
    <w:p w14:paraId="1C66A1FD">
      <w:pPr>
        <w:keepNext w:val="0"/>
        <w:keepLines w:val="0"/>
        <w:pageBreakBefore w:val="0"/>
        <w:widowControl w:val="0"/>
        <w:kinsoku/>
        <w:wordWrap/>
        <w:overflowPunct/>
        <w:topLinePunct w:val="0"/>
        <w:autoSpaceDE/>
        <w:autoSpaceDN/>
        <w:bidi w:val="0"/>
        <w:adjustRightInd/>
        <w:snapToGrid/>
        <w:spacing w:line="480" w:lineRule="exact"/>
        <w:ind w:left="0" w:right="0" w:firstLine="471"/>
        <w:jc w:val="both"/>
        <w:textAlignment w:val="auto"/>
        <w:outlineLvl w:val="9"/>
        <w:rPr>
          <w:rFonts w:hint="default" w:ascii="Times New Roman" w:hAnsi="Times New Roman" w:eastAsia="仿宋" w:cs="Times New Roman"/>
          <w:sz w:val="24"/>
          <w:szCs w:val="24"/>
          <w:lang w:val="en-US" w:eastAsia="zh-CN" w:bidi="ar-SA"/>
        </w:rPr>
      </w:pPr>
      <w:r>
        <w:rPr>
          <w:rFonts w:hint="eastAsia" w:ascii="Times New Roman" w:hAnsi="Times New Roman" w:eastAsia="仿宋" w:cs="Times New Roman"/>
          <w:sz w:val="24"/>
          <w:szCs w:val="24"/>
          <w:lang w:val="en-US" w:eastAsia="zh-CN" w:bidi="ar-SA"/>
        </w:rPr>
        <w:t>按照HJ 4</w:t>
      </w:r>
      <w:r>
        <w:rPr>
          <w:rFonts w:hint="eastAsia" w:eastAsia="仿宋" w:cs="Times New Roman"/>
          <w:sz w:val="24"/>
          <w:szCs w:val="24"/>
          <w:lang w:val="en-US" w:eastAsia="zh-CN" w:bidi="ar-SA"/>
        </w:rPr>
        <w:t>9</w:t>
      </w:r>
      <w:r>
        <w:rPr>
          <w:rFonts w:hint="eastAsia" w:ascii="Times New Roman" w:hAnsi="Times New Roman" w:eastAsia="仿宋" w:cs="Times New Roman"/>
          <w:sz w:val="24"/>
          <w:szCs w:val="24"/>
          <w:lang w:val="en-US" w:eastAsia="zh-CN" w:bidi="ar-SA"/>
        </w:rPr>
        <w:t>4的规定采集100</w:t>
      </w:r>
      <w:r>
        <w:rPr>
          <w:rFonts w:hint="eastAsia" w:eastAsia="仿宋" w:cs="Times New Roman"/>
          <w:sz w:val="24"/>
          <w:szCs w:val="24"/>
          <w:lang w:val="en-US" w:eastAsia="zh-CN" w:bidi="ar-SA"/>
        </w:rPr>
        <w:t xml:space="preserve"> </w:t>
      </w:r>
      <w:r>
        <w:rPr>
          <w:rFonts w:hint="eastAsia" w:ascii="Times New Roman" w:hAnsi="Times New Roman" w:eastAsia="仿宋" w:cs="Times New Roman"/>
          <w:sz w:val="24"/>
          <w:szCs w:val="24"/>
          <w:lang w:val="en-US" w:eastAsia="zh-CN" w:bidi="ar-SA"/>
        </w:rPr>
        <w:t>g的表层</w:t>
      </w:r>
      <w:r>
        <w:rPr>
          <w:rFonts w:hint="default" w:ascii="Times New Roman" w:hAnsi="Times New Roman" w:eastAsia="仿宋" w:cs="Times New Roman"/>
          <w:sz w:val="24"/>
          <w:szCs w:val="24"/>
          <w:lang w:val="en-US" w:eastAsia="zh-CN" w:bidi="ar-SA"/>
        </w:rPr>
        <w:t>沉积物样品，</w:t>
      </w:r>
      <w:r>
        <w:rPr>
          <w:rFonts w:hint="eastAsia" w:ascii="Times New Roman" w:hAnsi="Times New Roman" w:eastAsia="仿宋" w:cs="Times New Roman"/>
          <w:sz w:val="24"/>
          <w:szCs w:val="24"/>
          <w:lang w:val="en-US" w:eastAsia="zh-CN" w:bidi="ar-SA"/>
        </w:rPr>
        <w:t>收集在无菌清晰的</w:t>
      </w:r>
      <w:r>
        <w:rPr>
          <w:rFonts w:hint="default" w:ascii="Times New Roman" w:hAnsi="Times New Roman" w:eastAsia="仿宋" w:cs="Times New Roman"/>
          <w:sz w:val="24"/>
          <w:szCs w:val="24"/>
          <w:lang w:val="en-US" w:eastAsia="zh-CN" w:bidi="ar-SA"/>
        </w:rPr>
        <w:t>塑封袋</w:t>
      </w:r>
      <w:r>
        <w:rPr>
          <w:rFonts w:hint="eastAsia" w:ascii="Times New Roman" w:hAnsi="Times New Roman" w:eastAsia="仿宋" w:cs="Times New Roman"/>
          <w:sz w:val="24"/>
          <w:szCs w:val="24"/>
          <w:lang w:val="en-US" w:eastAsia="zh-CN" w:bidi="ar-SA"/>
        </w:rPr>
        <w:t>或采样瓶</w:t>
      </w:r>
      <w:r>
        <w:rPr>
          <w:rFonts w:hint="default" w:ascii="Times New Roman" w:hAnsi="Times New Roman" w:eastAsia="仿宋" w:cs="Times New Roman"/>
          <w:sz w:val="24"/>
          <w:szCs w:val="24"/>
          <w:lang w:val="en-US" w:eastAsia="zh-CN" w:bidi="ar-SA"/>
        </w:rPr>
        <w:t>中，做好标记，置于车载冰箱4℃冷藏运输。每个</w:t>
      </w:r>
      <w:r>
        <w:rPr>
          <w:rFonts w:hint="eastAsia" w:ascii="Times New Roman" w:hAnsi="Times New Roman" w:eastAsia="仿宋" w:cs="Times New Roman"/>
          <w:sz w:val="24"/>
          <w:szCs w:val="24"/>
          <w:lang w:val="en-US" w:eastAsia="zh-CN" w:bidi="ar-SA"/>
        </w:rPr>
        <w:t>采样</w:t>
      </w:r>
      <w:r>
        <w:rPr>
          <w:rFonts w:hint="default" w:ascii="Times New Roman" w:hAnsi="Times New Roman" w:eastAsia="仿宋" w:cs="Times New Roman"/>
          <w:sz w:val="24"/>
          <w:szCs w:val="24"/>
          <w:lang w:val="en-US" w:eastAsia="zh-CN" w:bidi="ar-SA"/>
        </w:rPr>
        <w:t>位点至少有</w:t>
      </w:r>
      <w:r>
        <w:rPr>
          <w:rFonts w:hint="eastAsia" w:eastAsia="仿宋" w:cs="Times New Roman"/>
          <w:sz w:val="24"/>
          <w:szCs w:val="24"/>
          <w:lang w:val="en-US" w:eastAsia="zh-CN" w:bidi="ar-SA"/>
        </w:rPr>
        <w:t>5</w:t>
      </w:r>
      <w:r>
        <w:rPr>
          <w:rFonts w:hint="default" w:ascii="Times New Roman" w:hAnsi="Times New Roman" w:eastAsia="仿宋" w:cs="Times New Roman"/>
          <w:sz w:val="24"/>
          <w:szCs w:val="24"/>
          <w:lang w:val="en-US" w:eastAsia="zh-CN" w:bidi="ar-SA"/>
        </w:rPr>
        <w:t>个重复</w:t>
      </w:r>
      <w:r>
        <w:rPr>
          <w:rFonts w:hint="eastAsia" w:ascii="Times New Roman" w:hAnsi="Times New Roman" w:eastAsia="仿宋" w:cs="Times New Roman"/>
          <w:sz w:val="24"/>
          <w:szCs w:val="24"/>
          <w:lang w:val="en-US" w:eastAsia="zh-CN" w:bidi="ar-SA"/>
        </w:rPr>
        <w:t>且尽量包含各类小生境</w:t>
      </w:r>
      <w:r>
        <w:rPr>
          <w:rFonts w:hint="default" w:ascii="Times New Roman" w:hAnsi="Times New Roman" w:eastAsia="仿宋" w:cs="Times New Roman"/>
          <w:sz w:val="24"/>
          <w:szCs w:val="24"/>
          <w:lang w:val="en-US" w:eastAsia="zh-CN" w:bidi="ar-SA"/>
        </w:rPr>
        <w:t>。</w:t>
      </w:r>
    </w:p>
    <w:p w14:paraId="09D00F61">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0" w:leftChars="0" w:right="0" w:firstLine="480" w:firstLineChars="200"/>
        <w:jc w:val="both"/>
        <w:textAlignment w:val="auto"/>
        <w:outlineLvl w:val="9"/>
        <w:rPr>
          <w:rFonts w:hint="default" w:ascii="Times New Roman" w:hAnsi="Times New Roman" w:eastAsia="仿宋" w:cs="Times New Roman"/>
          <w:sz w:val="24"/>
          <w:szCs w:val="24"/>
          <w:lang w:val="en-US" w:eastAsia="zh-CN" w:bidi="ar-SA"/>
        </w:rPr>
      </w:pPr>
      <w:r>
        <w:rPr>
          <w:rFonts w:hint="default" w:ascii="Times New Roman" w:hAnsi="Times New Roman" w:eastAsia="仿宋" w:cs="Times New Roman"/>
          <w:sz w:val="24"/>
          <w:szCs w:val="24"/>
          <w:lang w:val="en-US" w:eastAsia="zh-CN" w:bidi="ar-SA"/>
        </w:rPr>
        <w:t>混合生物组织样品</w:t>
      </w:r>
    </w:p>
    <w:p w14:paraId="32275E5C">
      <w:pPr>
        <w:keepNext w:val="0"/>
        <w:keepLines w:val="0"/>
        <w:pageBreakBefore w:val="0"/>
        <w:widowControl w:val="0"/>
        <w:kinsoku/>
        <w:wordWrap/>
        <w:overflowPunct/>
        <w:topLinePunct w:val="0"/>
        <w:autoSpaceDE/>
        <w:autoSpaceDN/>
        <w:bidi w:val="0"/>
        <w:adjustRightInd/>
        <w:snapToGrid/>
        <w:spacing w:line="480" w:lineRule="exact"/>
        <w:ind w:left="0" w:right="0" w:firstLine="471"/>
        <w:jc w:val="both"/>
        <w:textAlignment w:val="auto"/>
        <w:outlineLvl w:val="9"/>
        <w:rPr>
          <w:rFonts w:hint="default" w:ascii="Times New Roman" w:hAnsi="Times New Roman" w:eastAsia="仿宋" w:cs="Times New Roman"/>
          <w:sz w:val="24"/>
          <w:szCs w:val="24"/>
          <w:lang w:val="en-US" w:eastAsia="zh-CN" w:bidi="ar-SA"/>
        </w:rPr>
      </w:pPr>
      <w:r>
        <w:rPr>
          <w:rFonts w:hint="eastAsia" w:ascii="Times New Roman" w:hAnsi="Times New Roman" w:eastAsia="仿宋" w:cs="Times New Roman"/>
          <w:sz w:val="24"/>
          <w:szCs w:val="24"/>
          <w:lang w:val="en-US" w:eastAsia="zh-CN" w:bidi="ar-SA"/>
        </w:rPr>
        <w:t>按照</w:t>
      </w:r>
      <w:r>
        <w:rPr>
          <w:rFonts w:hint="default" w:ascii="Times New Roman" w:hAnsi="Times New Roman" w:eastAsia="仿宋" w:cs="Times New Roman"/>
          <w:sz w:val="24"/>
          <w:szCs w:val="24"/>
          <w:lang w:val="en-US" w:eastAsia="zh-CN" w:bidi="ar-SA"/>
        </w:rPr>
        <w:t>HJ</w:t>
      </w:r>
      <w:r>
        <w:rPr>
          <w:rFonts w:hint="eastAsia" w:eastAsia="仿宋" w:cs="Times New Roman"/>
          <w:sz w:val="24"/>
          <w:szCs w:val="24"/>
          <w:lang w:val="en-US" w:eastAsia="zh-CN" w:bidi="ar-SA"/>
        </w:rPr>
        <w:t xml:space="preserve"> </w:t>
      </w:r>
      <w:r>
        <w:rPr>
          <w:rFonts w:hint="default" w:ascii="Times New Roman" w:hAnsi="Times New Roman" w:eastAsia="仿宋" w:cs="Times New Roman"/>
          <w:sz w:val="24"/>
          <w:szCs w:val="24"/>
          <w:lang w:val="en-US" w:eastAsia="zh-CN" w:bidi="ar-SA"/>
        </w:rPr>
        <w:t>710.8</w:t>
      </w:r>
      <w:r>
        <w:rPr>
          <w:rFonts w:hint="eastAsia" w:ascii="Times New Roman" w:hAnsi="Times New Roman" w:eastAsia="仿宋" w:cs="Times New Roman"/>
          <w:sz w:val="24"/>
          <w:szCs w:val="24"/>
          <w:lang w:val="en-US" w:eastAsia="zh-CN" w:bidi="ar-SA"/>
        </w:rPr>
        <w:t>的相关规定采集和筛选</w:t>
      </w:r>
      <w:r>
        <w:rPr>
          <w:rFonts w:hint="default" w:ascii="Times New Roman" w:hAnsi="Times New Roman" w:eastAsia="仿宋" w:cs="Times New Roman"/>
          <w:sz w:val="24"/>
          <w:szCs w:val="24"/>
          <w:lang w:val="en-US" w:eastAsia="zh-CN" w:bidi="ar-SA"/>
        </w:rPr>
        <w:t>大型底栖无脊椎动物</w:t>
      </w:r>
      <w:r>
        <w:rPr>
          <w:rFonts w:hint="eastAsia" w:ascii="Times New Roman" w:hAnsi="Times New Roman" w:eastAsia="仿宋" w:cs="Times New Roman"/>
          <w:sz w:val="24"/>
          <w:szCs w:val="24"/>
          <w:lang w:val="en-US" w:eastAsia="zh-CN" w:bidi="ar-SA"/>
        </w:rPr>
        <w:t>，加入3倍体积的</w:t>
      </w:r>
      <w:r>
        <w:rPr>
          <w:rFonts w:hint="eastAsia" w:eastAsia="仿宋" w:cs="Times New Roman"/>
          <w:sz w:val="24"/>
          <w:szCs w:val="24"/>
          <w:lang w:val="en-US" w:eastAsia="zh-CN" w:bidi="ar-SA"/>
        </w:rPr>
        <w:t>无水</w:t>
      </w:r>
      <w:r>
        <w:rPr>
          <w:rFonts w:hint="eastAsia" w:ascii="Times New Roman" w:hAnsi="Times New Roman" w:eastAsia="仿宋" w:cs="Times New Roman"/>
          <w:sz w:val="24"/>
          <w:szCs w:val="24"/>
          <w:lang w:val="en-US" w:eastAsia="zh-CN" w:bidi="ar-SA"/>
        </w:rPr>
        <w:t>乙醇，常温保存</w:t>
      </w:r>
      <w:r>
        <w:rPr>
          <w:rFonts w:hint="default" w:ascii="Times New Roman" w:hAnsi="Times New Roman" w:eastAsia="仿宋" w:cs="Times New Roman"/>
          <w:sz w:val="24"/>
          <w:szCs w:val="24"/>
          <w:lang w:val="en-US" w:eastAsia="zh-CN" w:bidi="ar-SA"/>
        </w:rPr>
        <w:t>。</w:t>
      </w:r>
    </w:p>
    <w:p w14:paraId="6311242F">
      <w:pPr>
        <w:pStyle w:val="15"/>
        <w:keepNext w:val="0"/>
        <w:keepLines w:val="0"/>
        <w:pageBreakBefore w:val="0"/>
        <w:widowControl w:val="0"/>
        <w:tabs>
          <w:tab w:val="center" w:pos="4201"/>
          <w:tab w:val="right" w:leader="dot" w:pos="9298"/>
        </w:tabs>
        <w:kinsoku/>
        <w:wordWrap/>
        <w:overflowPunct/>
        <w:topLinePunct w:val="0"/>
        <w:autoSpaceDE/>
        <w:autoSpaceDN/>
        <w:bidi w:val="0"/>
        <w:adjustRightInd/>
        <w:snapToGrid/>
        <w:spacing w:line="480" w:lineRule="exact"/>
        <w:ind w:firstLine="560"/>
        <w:textAlignment w:val="auto"/>
        <w:outlineLvl w:val="9"/>
        <w:rPr>
          <w:rFonts w:hint="eastAsia" w:ascii="Times New Roman" w:hAnsi="Times New Roman" w:eastAsia="仿宋" w:cs="Times New Roman"/>
          <w:sz w:val="24"/>
          <w:szCs w:val="24"/>
          <w:lang w:val="en-US" w:eastAsia="zh-CN" w:bidi="ar-SA"/>
        </w:rPr>
      </w:pPr>
      <w:r>
        <w:rPr>
          <w:rFonts w:hint="eastAsia" w:ascii="Times New Roman" w:hAnsi="Times New Roman" w:eastAsia="仿宋" w:cs="Times New Roman"/>
          <w:sz w:val="24"/>
          <w:szCs w:val="24"/>
          <w:highlight w:val="none"/>
          <w:lang w:val="en-US" w:eastAsia="zh-CN" w:bidi="ar-SA"/>
        </w:rPr>
        <w:t>【条文说明】</w:t>
      </w:r>
      <w:r>
        <w:rPr>
          <w:rFonts w:hint="eastAsia" w:eastAsia="仿宋" w:cs="Times New Roman"/>
          <w:sz w:val="24"/>
          <w:szCs w:val="24"/>
          <w:highlight w:val="none"/>
          <w:lang w:val="en-US" w:eastAsia="zh-CN" w:bidi="ar-SA"/>
        </w:rPr>
        <w:t>采样方法主要参考</w:t>
      </w:r>
      <w:r>
        <w:rPr>
          <w:rFonts w:hint="eastAsia" w:ascii="Times New Roman" w:hAnsi="Times New Roman" w:eastAsia="仿宋" w:cs="Times New Roman"/>
          <w:sz w:val="24"/>
          <w:szCs w:val="24"/>
          <w:lang w:val="en-US" w:eastAsia="zh-CN" w:bidi="ar-SA"/>
        </w:rPr>
        <w:t>HJ 454</w:t>
      </w:r>
      <w:r>
        <w:rPr>
          <w:rFonts w:hint="eastAsia" w:eastAsia="仿宋" w:cs="Times New Roman"/>
          <w:sz w:val="24"/>
          <w:szCs w:val="24"/>
          <w:lang w:val="en-US" w:eastAsia="zh-CN" w:bidi="ar-SA"/>
        </w:rPr>
        <w:t>、</w:t>
      </w:r>
      <w:r>
        <w:rPr>
          <w:rFonts w:hint="default" w:ascii="Times New Roman" w:hAnsi="Times New Roman" w:eastAsia="仿宋" w:cs="Times New Roman"/>
          <w:sz w:val="24"/>
          <w:szCs w:val="24"/>
          <w:lang w:val="en-US" w:eastAsia="zh-CN" w:bidi="ar-SA"/>
        </w:rPr>
        <w:t>HJ</w:t>
      </w:r>
      <w:r>
        <w:rPr>
          <w:rFonts w:hint="eastAsia" w:eastAsia="仿宋" w:cs="Times New Roman"/>
          <w:sz w:val="24"/>
          <w:szCs w:val="24"/>
          <w:lang w:val="en-US" w:eastAsia="zh-CN" w:bidi="ar-SA"/>
        </w:rPr>
        <w:t xml:space="preserve"> </w:t>
      </w:r>
      <w:r>
        <w:rPr>
          <w:rFonts w:hint="default" w:ascii="Times New Roman" w:hAnsi="Times New Roman" w:eastAsia="仿宋" w:cs="Times New Roman"/>
          <w:sz w:val="24"/>
          <w:szCs w:val="24"/>
          <w:lang w:val="en-US" w:eastAsia="zh-CN" w:bidi="ar-SA"/>
        </w:rPr>
        <w:t>710.8</w:t>
      </w:r>
      <w:r>
        <w:rPr>
          <w:rFonts w:hint="eastAsia" w:eastAsia="仿宋" w:cs="Times New Roman"/>
          <w:sz w:val="24"/>
          <w:szCs w:val="24"/>
          <w:lang w:val="en-US" w:eastAsia="zh-CN" w:bidi="ar-SA"/>
        </w:rPr>
        <w:t>等相关规定。</w:t>
      </w:r>
      <w:r>
        <w:rPr>
          <w:rFonts w:hint="eastAsia" w:ascii="Times New Roman" w:hAnsi="Times New Roman" w:eastAsia="仿宋" w:cs="Times New Roman"/>
          <w:sz w:val="24"/>
          <w:szCs w:val="24"/>
          <w:highlight w:val="none"/>
          <w:lang w:val="en-US" w:eastAsia="zh-CN" w:bidi="ar-SA"/>
        </w:rPr>
        <w:t>一般来说，采样体积越大，监测的物种种类更全。但是采样和前处理的难度更大，同时也会存在更多的杂质和抑制剂，增加DNA提取和PCR扩增实验的难度。因此采样体积的选择需要根据水体类型和监测的生物类群综合考虑。已有的关于水样eDNA监测底栖动物的采样体积也大多在1L左右，</w:t>
      </w:r>
      <w:r>
        <w:rPr>
          <w:rFonts w:hint="eastAsia" w:eastAsia="仿宋" w:cs="Times New Roman"/>
          <w:sz w:val="24"/>
          <w:szCs w:val="24"/>
          <w:lang w:val="en-US" w:eastAsia="zh-CN" w:bidi="ar-SA"/>
        </w:rPr>
        <w:t>美国地调局发布的《Environmental DNA Sampling Protocol—Filtering Water to Capture DNA from Aquatic Organisms》中提到采用0.45 µm 的滤膜过滤水样体积250~1000 mL。对于杂质和有机质较高的溪流或池塘过滤水样体积为500 mL甚至更少。当需要时，可以选择孔径更大的滤膜（0.45~3 µm）的滤膜过滤，防止堵塞，进而增加过滤体积。另外，</w:t>
      </w:r>
      <w:r>
        <w:rPr>
          <w:rFonts w:hint="eastAsia" w:ascii="Times New Roman" w:hAnsi="Times New Roman" w:eastAsia="仿宋" w:cs="Times New Roman"/>
          <w:sz w:val="24"/>
          <w:szCs w:val="24"/>
          <w:lang w:val="en-US" w:eastAsia="zh-CN" w:bidi="ar-SA"/>
        </w:rPr>
        <w:t>为了保证</w:t>
      </w:r>
      <w:r>
        <w:rPr>
          <w:rFonts w:hint="default" w:ascii="Times New Roman" w:hAnsi="Times New Roman" w:eastAsia="仿宋" w:cs="Times New Roman"/>
          <w:sz w:val="24"/>
          <w:szCs w:val="24"/>
          <w:lang w:val="en-US" w:eastAsia="zh-CN" w:bidi="ar-SA"/>
        </w:rPr>
        <w:t>eDNA</w:t>
      </w:r>
      <w:r>
        <w:rPr>
          <w:rFonts w:hint="eastAsia" w:ascii="Times New Roman" w:hAnsi="Times New Roman" w:eastAsia="仿宋" w:cs="Times New Roman"/>
          <w:sz w:val="24"/>
          <w:szCs w:val="24"/>
          <w:lang w:val="en-US" w:eastAsia="zh-CN" w:bidi="ar-SA"/>
        </w:rPr>
        <w:t>数据的可靠性，通常采用多个平行样本。例如，当一个物种在多个重复中被检测到时，它更有可能是真实存在于环境中的，而不是假阳性。因此，为了在统计上有效，每个位点的</w:t>
      </w:r>
      <w:r>
        <w:rPr>
          <w:rFonts w:hint="default" w:ascii="Times New Roman" w:hAnsi="Times New Roman" w:eastAsia="仿宋" w:cs="Times New Roman"/>
          <w:sz w:val="24"/>
          <w:szCs w:val="24"/>
          <w:lang w:val="en-US" w:eastAsia="zh-CN" w:bidi="ar-SA"/>
        </w:rPr>
        <w:t>eDNA</w:t>
      </w:r>
      <w:r>
        <w:rPr>
          <w:rFonts w:hint="eastAsia" w:ascii="Times New Roman" w:hAnsi="Times New Roman" w:eastAsia="仿宋" w:cs="Times New Roman"/>
          <w:sz w:val="24"/>
          <w:szCs w:val="24"/>
          <w:lang w:val="en-US" w:eastAsia="zh-CN" w:bidi="ar-SA"/>
        </w:rPr>
        <w:t>采样应包括多个生物重复。</w:t>
      </w:r>
    </w:p>
    <w:p w14:paraId="5D74071C">
      <w:pPr>
        <w:keepNext w:val="0"/>
        <w:keepLines w:val="0"/>
        <w:pageBreakBefore w:val="0"/>
        <w:widowControl/>
        <w:suppressLineNumbers w:val="0"/>
        <w:kinsoku/>
        <w:wordWrap/>
        <w:overflowPunct/>
        <w:topLinePunct w:val="0"/>
        <w:autoSpaceDE/>
        <w:autoSpaceDN/>
        <w:bidi w:val="0"/>
        <w:adjustRightInd/>
        <w:snapToGrid/>
        <w:jc w:val="left"/>
        <w:textAlignment w:val="auto"/>
        <w:outlineLvl w:val="9"/>
        <w:rPr>
          <w:rFonts w:hint="eastAsia" w:ascii="Times New Roman" w:hAnsi="Times New Roman" w:eastAsia="仿宋" w:cs="Times New Roman"/>
          <w:sz w:val="24"/>
          <w:szCs w:val="24"/>
          <w:lang w:val="en-US" w:eastAsia="zh-CN" w:bidi="ar-SA"/>
        </w:rPr>
      </w:pPr>
      <w:r>
        <w:rPr>
          <w:rFonts w:hint="eastAsia" w:ascii="Times New Roman" w:hAnsi="Times New Roman" w:eastAsia="仿宋" w:cs="Times New Roman"/>
          <w:sz w:val="24"/>
          <w:szCs w:val="24"/>
          <w:lang w:val="en-US" w:eastAsia="zh-CN" w:bidi="ar-SA"/>
        </w:rPr>
        <w:t>为尽可能覆盖所有的物种，本研究建议采样体积一般不小于</w:t>
      </w:r>
      <w:r>
        <w:rPr>
          <w:rFonts w:hint="default" w:ascii="Times New Roman" w:hAnsi="Times New Roman" w:eastAsia="仿宋" w:cs="Times New Roman"/>
          <w:sz w:val="24"/>
          <w:szCs w:val="24"/>
          <w:lang w:val="en-US" w:eastAsia="zh-CN" w:bidi="ar-SA"/>
        </w:rPr>
        <w:t>1</w:t>
      </w:r>
      <w:r>
        <w:rPr>
          <w:rFonts w:hint="eastAsia" w:eastAsia="仿宋" w:cs="Times New Roman"/>
          <w:sz w:val="24"/>
          <w:szCs w:val="24"/>
          <w:lang w:val="en-US" w:eastAsia="zh-CN" w:bidi="ar-SA"/>
        </w:rPr>
        <w:t xml:space="preserve"> </w:t>
      </w:r>
      <w:r>
        <w:rPr>
          <w:rFonts w:hint="default" w:ascii="Times New Roman" w:hAnsi="Times New Roman" w:eastAsia="仿宋" w:cs="Times New Roman"/>
          <w:sz w:val="24"/>
          <w:szCs w:val="24"/>
          <w:lang w:val="en-US" w:eastAsia="zh-CN" w:bidi="ar-SA"/>
        </w:rPr>
        <w:t>L</w:t>
      </w:r>
      <w:r>
        <w:rPr>
          <w:rFonts w:hint="eastAsia" w:ascii="Times New Roman" w:hAnsi="Times New Roman" w:eastAsia="仿宋" w:cs="Times New Roman"/>
          <w:sz w:val="24"/>
          <w:szCs w:val="24"/>
          <w:lang w:val="en-US" w:eastAsia="zh-CN" w:bidi="ar-SA"/>
        </w:rPr>
        <w:t>。另外每个点位至少设置</w:t>
      </w:r>
      <w:r>
        <w:rPr>
          <w:rFonts w:hint="eastAsia" w:eastAsia="仿宋" w:cs="Times New Roman"/>
          <w:sz w:val="24"/>
          <w:szCs w:val="24"/>
          <w:lang w:val="en-US" w:eastAsia="zh-CN" w:bidi="ar-SA"/>
        </w:rPr>
        <w:t>5</w:t>
      </w:r>
      <w:r>
        <w:rPr>
          <w:rFonts w:hint="eastAsia" w:ascii="Times New Roman" w:hAnsi="Times New Roman" w:eastAsia="仿宋" w:cs="Times New Roman"/>
          <w:sz w:val="24"/>
          <w:szCs w:val="24"/>
          <w:lang w:val="en-US" w:eastAsia="zh-CN" w:bidi="ar-SA"/>
        </w:rPr>
        <w:t>个生物重复。</w:t>
      </w:r>
    </w:p>
    <w:p w14:paraId="645CA8D5">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textAlignment w:val="auto"/>
        <w:rPr>
          <w:rFonts w:hint="default" w:eastAsia="仿宋" w:cs="Times New Roman"/>
          <w:b/>
          <w:bCs/>
          <w:sz w:val="24"/>
          <w:szCs w:val="24"/>
          <w:lang w:val="en-US" w:eastAsia="zh-CN"/>
        </w:rPr>
      </w:pPr>
      <w:bookmarkStart w:id="70" w:name="_Toc133513165"/>
      <w:r>
        <w:rPr>
          <w:rFonts w:hint="eastAsia" w:eastAsia="仿宋" w:cs="Times New Roman"/>
          <w:b/>
          <w:bCs/>
          <w:sz w:val="24"/>
          <w:szCs w:val="24"/>
          <w:lang w:val="en-US" w:eastAsia="zh-CN"/>
        </w:rPr>
        <w:t xml:space="preserve">5.2.5.4 </w:t>
      </w:r>
      <w:r>
        <w:rPr>
          <w:rFonts w:hint="default" w:eastAsia="仿宋" w:cs="Times New Roman"/>
          <w:b/>
          <w:bCs/>
          <w:sz w:val="24"/>
          <w:szCs w:val="24"/>
          <w:lang w:val="en-US" w:eastAsia="zh-CN"/>
        </w:rPr>
        <w:t xml:space="preserve"> 环境DNA提取和纯化</w:t>
      </w:r>
      <w:bookmarkEnd w:id="70"/>
    </w:p>
    <w:p w14:paraId="67B08F80">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0" w:leftChars="0" w:right="0" w:firstLine="480" w:firstLineChars="200"/>
        <w:jc w:val="both"/>
        <w:textAlignment w:val="auto"/>
        <w:rPr>
          <w:rFonts w:hint="default" w:ascii="Times New Roman" w:hAnsi="Times New Roman" w:eastAsia="仿宋" w:cs="Times New Roman"/>
          <w:sz w:val="24"/>
          <w:szCs w:val="24"/>
          <w:lang w:val="en-US" w:eastAsia="zh-CN" w:bidi="ar-SA"/>
        </w:rPr>
      </w:pPr>
      <w:bookmarkStart w:id="71" w:name="_Toc133513164"/>
      <w:r>
        <w:rPr>
          <w:rFonts w:hint="default" w:ascii="Times New Roman" w:hAnsi="Times New Roman" w:eastAsia="仿宋" w:cs="Times New Roman"/>
          <w:sz w:val="24"/>
          <w:szCs w:val="24"/>
          <w:lang w:val="en-US" w:eastAsia="zh-CN" w:bidi="ar-SA"/>
        </w:rPr>
        <w:t>样品前处理</w:t>
      </w:r>
      <w:bookmarkEnd w:id="71"/>
      <w:r>
        <w:rPr>
          <w:rFonts w:hint="eastAsia" w:ascii="Times New Roman" w:hAnsi="Times New Roman" w:eastAsia="仿宋" w:cs="Times New Roman"/>
          <w:sz w:val="24"/>
          <w:szCs w:val="24"/>
          <w:lang w:val="en-US" w:eastAsia="zh-CN" w:bidi="ar-SA"/>
        </w:rPr>
        <w:t>和DNA提取</w:t>
      </w:r>
    </w:p>
    <w:p w14:paraId="0DEE647B">
      <w:pPr>
        <w:keepNext w:val="0"/>
        <w:keepLines w:val="0"/>
        <w:pageBreakBefore w:val="0"/>
        <w:widowControl w:val="0"/>
        <w:kinsoku/>
        <w:wordWrap/>
        <w:overflowPunct/>
        <w:topLinePunct w:val="0"/>
        <w:autoSpaceDE/>
        <w:autoSpaceDN/>
        <w:bidi w:val="0"/>
        <w:adjustRightInd/>
        <w:snapToGrid/>
        <w:spacing w:line="480" w:lineRule="exact"/>
        <w:ind w:right="0"/>
        <w:textAlignment w:val="auto"/>
        <w:rPr>
          <w:rFonts w:hint="default" w:ascii="Times New Roman" w:hAnsi="Times New Roman" w:eastAsia="仿宋" w:cs="Times New Roman"/>
          <w:sz w:val="24"/>
          <w:szCs w:val="24"/>
          <w:lang w:val="en-US" w:eastAsia="zh-CN" w:bidi="ar-SA"/>
        </w:rPr>
      </w:pPr>
      <w:r>
        <w:rPr>
          <w:rFonts w:hint="eastAsia" w:eastAsia="仿宋" w:cs="Times New Roman"/>
          <w:sz w:val="24"/>
          <w:szCs w:val="24"/>
          <w:lang w:val="en-US" w:eastAsia="zh-CN" w:bidi="ar-SA"/>
        </w:rPr>
        <w:t>1）</w:t>
      </w:r>
      <w:r>
        <w:rPr>
          <w:rFonts w:hint="default" w:ascii="Times New Roman" w:hAnsi="Times New Roman" w:eastAsia="仿宋" w:cs="Times New Roman"/>
          <w:sz w:val="24"/>
          <w:szCs w:val="24"/>
          <w:lang w:val="en-US" w:eastAsia="zh-CN" w:bidi="ar-SA"/>
        </w:rPr>
        <w:t>滤膜样品（水样）：利用研磨珠和裂解液将滤膜振荡破碎</w:t>
      </w:r>
      <w:r>
        <w:rPr>
          <w:rFonts w:hint="eastAsia" w:ascii="Times New Roman" w:hAnsi="Times New Roman" w:eastAsia="仿宋" w:cs="Times New Roman"/>
          <w:sz w:val="24"/>
          <w:szCs w:val="24"/>
          <w:lang w:val="en-US" w:eastAsia="zh-CN" w:bidi="ar-SA"/>
        </w:rPr>
        <w:t>，将破碎后的样品</w:t>
      </w:r>
      <w:r>
        <w:rPr>
          <w:rFonts w:hint="default" w:ascii="Times New Roman" w:hAnsi="Times New Roman" w:eastAsia="仿宋" w:cs="Times New Roman"/>
          <w:sz w:val="24"/>
          <w:szCs w:val="24"/>
          <w:lang w:val="en-US" w:eastAsia="zh-CN" w:bidi="ar-SA"/>
        </w:rPr>
        <w:t>置于1.5</w:t>
      </w:r>
      <w:r>
        <w:rPr>
          <w:rFonts w:hint="eastAsia" w:eastAsia="仿宋" w:cs="Times New Roman"/>
          <w:sz w:val="24"/>
          <w:szCs w:val="24"/>
          <w:lang w:val="en-US" w:eastAsia="zh-CN" w:bidi="ar-SA"/>
        </w:rPr>
        <w:t xml:space="preserve"> </w:t>
      </w:r>
      <w:r>
        <w:rPr>
          <w:rFonts w:hint="default" w:ascii="Times New Roman" w:hAnsi="Times New Roman" w:eastAsia="仿宋" w:cs="Times New Roman"/>
          <w:sz w:val="24"/>
          <w:szCs w:val="24"/>
          <w:lang w:val="en-US" w:eastAsia="zh-CN" w:bidi="ar-SA"/>
        </w:rPr>
        <w:t>mL离心管中，</w:t>
      </w:r>
      <w:r>
        <w:rPr>
          <w:rFonts w:hint="eastAsia" w:ascii="Times New Roman" w:hAnsi="Times New Roman" w:eastAsia="仿宋" w:cs="Times New Roman"/>
          <w:sz w:val="24"/>
          <w:szCs w:val="24"/>
          <w:lang w:val="en-US" w:eastAsia="zh-CN" w:bidi="ar-SA"/>
        </w:rPr>
        <w:t>采用符合动物组织细胞DNA提取的</w:t>
      </w:r>
      <w:r>
        <w:rPr>
          <w:rFonts w:hint="default" w:ascii="Times New Roman" w:hAnsi="Times New Roman" w:eastAsia="仿宋" w:cs="Times New Roman"/>
          <w:sz w:val="24"/>
          <w:szCs w:val="24"/>
          <w:lang w:val="en-US" w:eastAsia="zh-CN" w:bidi="ar-SA"/>
        </w:rPr>
        <w:t>商业化试剂盒</w:t>
      </w:r>
      <w:r>
        <w:rPr>
          <w:rFonts w:hint="eastAsia" w:ascii="Times New Roman" w:hAnsi="Times New Roman" w:eastAsia="仿宋" w:cs="Times New Roman"/>
          <w:sz w:val="24"/>
          <w:szCs w:val="24"/>
          <w:lang w:val="en-US" w:eastAsia="zh-CN" w:bidi="ar-SA"/>
        </w:rPr>
        <w:t>完成</w:t>
      </w:r>
      <w:r>
        <w:rPr>
          <w:rFonts w:hint="default" w:ascii="Times New Roman" w:hAnsi="Times New Roman" w:eastAsia="仿宋" w:cs="Times New Roman"/>
          <w:sz w:val="24"/>
          <w:szCs w:val="24"/>
          <w:lang w:val="en-US" w:eastAsia="zh-CN" w:bidi="ar-SA"/>
        </w:rPr>
        <w:t>，</w:t>
      </w:r>
      <w:r>
        <w:rPr>
          <w:rFonts w:hint="eastAsia" w:ascii="Times New Roman" w:hAnsi="Times New Roman" w:eastAsia="仿宋" w:cs="Times New Roman"/>
          <w:sz w:val="24"/>
          <w:szCs w:val="24"/>
          <w:lang w:val="en-US" w:eastAsia="zh-CN" w:bidi="ar-SA"/>
        </w:rPr>
        <w:t>具体操作可参考试剂盒要求</w:t>
      </w:r>
      <w:r>
        <w:rPr>
          <w:rFonts w:hint="default" w:ascii="Times New Roman" w:hAnsi="Times New Roman" w:eastAsia="仿宋" w:cs="Times New Roman"/>
          <w:sz w:val="24"/>
          <w:szCs w:val="24"/>
          <w:lang w:val="en-US" w:eastAsia="zh-CN" w:bidi="ar-SA"/>
        </w:rPr>
        <w:t>。</w:t>
      </w:r>
    </w:p>
    <w:p w14:paraId="374D2BCF">
      <w:pPr>
        <w:keepNext w:val="0"/>
        <w:keepLines w:val="0"/>
        <w:pageBreakBefore w:val="0"/>
        <w:widowControl w:val="0"/>
        <w:kinsoku/>
        <w:wordWrap/>
        <w:overflowPunct/>
        <w:topLinePunct w:val="0"/>
        <w:autoSpaceDE/>
        <w:autoSpaceDN/>
        <w:bidi w:val="0"/>
        <w:adjustRightInd/>
        <w:snapToGrid/>
        <w:spacing w:line="480" w:lineRule="exact"/>
        <w:ind w:right="0"/>
        <w:textAlignment w:val="auto"/>
        <w:rPr>
          <w:rFonts w:hint="default" w:ascii="Times New Roman" w:hAnsi="Times New Roman" w:eastAsia="仿宋" w:cs="Times New Roman"/>
          <w:sz w:val="24"/>
          <w:szCs w:val="24"/>
          <w:lang w:val="en-US" w:eastAsia="zh-CN" w:bidi="ar-SA"/>
        </w:rPr>
      </w:pPr>
      <w:r>
        <w:rPr>
          <w:rFonts w:hint="eastAsia" w:eastAsia="仿宋" w:cs="Times New Roman"/>
          <w:sz w:val="24"/>
          <w:szCs w:val="24"/>
          <w:lang w:val="en-US" w:eastAsia="zh-CN" w:bidi="ar-SA"/>
        </w:rPr>
        <w:t>2）</w:t>
      </w:r>
      <w:r>
        <w:rPr>
          <w:rFonts w:hint="default" w:ascii="Times New Roman" w:hAnsi="Times New Roman" w:eastAsia="仿宋" w:cs="Times New Roman"/>
          <w:sz w:val="24"/>
          <w:szCs w:val="24"/>
          <w:lang w:val="en-US" w:eastAsia="zh-CN" w:bidi="ar-SA"/>
        </w:rPr>
        <w:t>沉积物样品：经均质器均质后冷冻干燥，用网筛过滤杂质并</w:t>
      </w:r>
      <w:r>
        <w:rPr>
          <w:rFonts w:hint="eastAsia" w:ascii="Times New Roman" w:hAnsi="Times New Roman" w:eastAsia="仿宋" w:cs="Times New Roman"/>
          <w:sz w:val="24"/>
          <w:szCs w:val="24"/>
          <w:lang w:val="en-US" w:eastAsia="zh-CN" w:bidi="ar-SA"/>
        </w:rPr>
        <w:t>混合均匀</w:t>
      </w:r>
      <w:r>
        <w:rPr>
          <w:rFonts w:hint="default" w:ascii="Times New Roman" w:hAnsi="Times New Roman" w:eastAsia="仿宋" w:cs="Times New Roman"/>
          <w:sz w:val="24"/>
          <w:szCs w:val="24"/>
          <w:lang w:val="en-US" w:eastAsia="zh-CN" w:bidi="ar-SA"/>
        </w:rPr>
        <w:t>。取0.</w:t>
      </w:r>
      <w:r>
        <w:rPr>
          <w:rFonts w:hint="eastAsia" w:eastAsia="仿宋" w:cs="Times New Roman"/>
          <w:sz w:val="24"/>
          <w:szCs w:val="24"/>
          <w:lang w:val="en-US" w:eastAsia="zh-CN" w:bidi="ar-SA"/>
        </w:rPr>
        <w:t xml:space="preserve">25 </w:t>
      </w:r>
      <w:r>
        <w:rPr>
          <w:rFonts w:hint="default" w:ascii="Times New Roman" w:hAnsi="Times New Roman" w:eastAsia="仿宋" w:cs="Times New Roman"/>
          <w:sz w:val="24"/>
          <w:szCs w:val="24"/>
          <w:lang w:val="en-US" w:eastAsia="zh-CN" w:bidi="ar-SA"/>
        </w:rPr>
        <w:t>g底泥样品置于1.5 mL离心管中，</w:t>
      </w:r>
      <w:r>
        <w:rPr>
          <w:rFonts w:hint="eastAsia" w:ascii="Times New Roman" w:hAnsi="Times New Roman" w:eastAsia="仿宋" w:cs="Times New Roman"/>
          <w:sz w:val="24"/>
          <w:szCs w:val="24"/>
          <w:lang w:val="en-US" w:eastAsia="zh-CN" w:bidi="ar-SA"/>
        </w:rPr>
        <w:t>采用符合动物组织细胞DNA提取的</w:t>
      </w:r>
      <w:r>
        <w:rPr>
          <w:rFonts w:hint="default" w:ascii="Times New Roman" w:hAnsi="Times New Roman" w:eastAsia="仿宋" w:cs="Times New Roman"/>
          <w:sz w:val="24"/>
          <w:szCs w:val="24"/>
          <w:lang w:val="en-US" w:eastAsia="zh-CN" w:bidi="ar-SA"/>
        </w:rPr>
        <w:t>商业化试剂盒</w:t>
      </w:r>
      <w:r>
        <w:rPr>
          <w:rFonts w:hint="eastAsia" w:ascii="Times New Roman" w:hAnsi="Times New Roman" w:eastAsia="仿宋" w:cs="Times New Roman"/>
          <w:sz w:val="24"/>
          <w:szCs w:val="24"/>
          <w:lang w:val="en-US" w:eastAsia="zh-CN" w:bidi="ar-SA"/>
        </w:rPr>
        <w:t>完成</w:t>
      </w:r>
      <w:r>
        <w:rPr>
          <w:rFonts w:hint="default" w:ascii="Times New Roman" w:hAnsi="Times New Roman" w:eastAsia="仿宋" w:cs="Times New Roman"/>
          <w:sz w:val="24"/>
          <w:szCs w:val="24"/>
          <w:lang w:val="en-US" w:eastAsia="zh-CN" w:bidi="ar-SA"/>
        </w:rPr>
        <w:t>，</w:t>
      </w:r>
      <w:r>
        <w:rPr>
          <w:rFonts w:hint="eastAsia" w:ascii="Times New Roman" w:hAnsi="Times New Roman" w:eastAsia="仿宋" w:cs="Times New Roman"/>
          <w:sz w:val="24"/>
          <w:szCs w:val="24"/>
          <w:lang w:val="en-US" w:eastAsia="zh-CN" w:bidi="ar-SA"/>
        </w:rPr>
        <w:t>具体操作可参考试剂盒要求</w:t>
      </w:r>
      <w:r>
        <w:rPr>
          <w:rFonts w:hint="default" w:ascii="Times New Roman" w:hAnsi="Times New Roman" w:eastAsia="仿宋" w:cs="Times New Roman"/>
          <w:sz w:val="24"/>
          <w:szCs w:val="24"/>
          <w:lang w:val="en-US" w:eastAsia="zh-CN" w:bidi="ar-SA"/>
        </w:rPr>
        <w:t>。</w:t>
      </w:r>
    </w:p>
    <w:p w14:paraId="753FF89D">
      <w:pPr>
        <w:keepNext w:val="0"/>
        <w:keepLines w:val="0"/>
        <w:pageBreakBefore w:val="0"/>
        <w:widowControl w:val="0"/>
        <w:kinsoku/>
        <w:wordWrap/>
        <w:overflowPunct/>
        <w:topLinePunct w:val="0"/>
        <w:autoSpaceDE/>
        <w:autoSpaceDN/>
        <w:bidi w:val="0"/>
        <w:adjustRightInd/>
        <w:snapToGrid/>
        <w:spacing w:line="480" w:lineRule="exact"/>
        <w:ind w:right="0"/>
        <w:textAlignment w:val="auto"/>
        <w:rPr>
          <w:rFonts w:hint="default" w:ascii="Times New Roman" w:hAnsi="Times New Roman" w:eastAsia="仿宋" w:cs="Times New Roman"/>
          <w:sz w:val="24"/>
          <w:szCs w:val="24"/>
          <w:lang w:val="en-US" w:eastAsia="zh-CN" w:bidi="ar-SA"/>
        </w:rPr>
      </w:pPr>
      <w:r>
        <w:rPr>
          <w:rFonts w:hint="eastAsia" w:eastAsia="仿宋" w:cs="Times New Roman"/>
          <w:sz w:val="24"/>
          <w:szCs w:val="24"/>
          <w:lang w:val="en-US" w:eastAsia="zh-CN" w:bidi="ar-SA"/>
        </w:rPr>
        <w:t>3）</w:t>
      </w:r>
      <w:r>
        <w:rPr>
          <w:rFonts w:hint="default" w:ascii="Times New Roman" w:hAnsi="Times New Roman" w:eastAsia="仿宋" w:cs="Times New Roman"/>
          <w:sz w:val="24"/>
          <w:szCs w:val="24"/>
          <w:lang w:val="en-US" w:eastAsia="zh-CN" w:bidi="ar-SA"/>
        </w:rPr>
        <w:t>混合生物组织样品：室温静置5天，</w:t>
      </w:r>
      <w:r>
        <w:rPr>
          <w:rFonts w:hint="eastAsia" w:ascii="Times New Roman" w:hAnsi="Times New Roman" w:eastAsia="仿宋" w:cs="Times New Roman"/>
          <w:sz w:val="24"/>
          <w:szCs w:val="24"/>
          <w:lang w:val="en-US" w:eastAsia="zh-CN" w:bidi="ar-SA"/>
        </w:rPr>
        <w:t>多次振荡混匀，</w:t>
      </w:r>
      <w:r>
        <w:rPr>
          <w:rFonts w:hint="default" w:ascii="Times New Roman" w:hAnsi="Times New Roman" w:eastAsia="仿宋" w:cs="Times New Roman"/>
          <w:sz w:val="24"/>
          <w:szCs w:val="24"/>
          <w:lang w:val="en-US" w:eastAsia="zh-CN" w:bidi="ar-SA"/>
        </w:rPr>
        <w:t>吸取浸出液2 mL，真空离心浓缩。取真空离心浓缩样品，</w:t>
      </w:r>
      <w:r>
        <w:rPr>
          <w:rFonts w:hint="eastAsia" w:ascii="Times New Roman" w:hAnsi="Times New Roman" w:eastAsia="仿宋" w:cs="Times New Roman"/>
          <w:sz w:val="24"/>
          <w:szCs w:val="24"/>
          <w:lang w:val="en-US" w:eastAsia="zh-CN" w:bidi="ar-SA"/>
        </w:rPr>
        <w:t>采用符合动物组织细胞DNA提取的</w:t>
      </w:r>
      <w:r>
        <w:rPr>
          <w:rFonts w:hint="default" w:ascii="Times New Roman" w:hAnsi="Times New Roman" w:eastAsia="仿宋" w:cs="Times New Roman"/>
          <w:sz w:val="24"/>
          <w:szCs w:val="24"/>
          <w:lang w:val="en-US" w:eastAsia="zh-CN" w:bidi="ar-SA"/>
        </w:rPr>
        <w:t>商业化试剂盒</w:t>
      </w:r>
      <w:r>
        <w:rPr>
          <w:rFonts w:hint="eastAsia" w:ascii="Times New Roman" w:hAnsi="Times New Roman" w:eastAsia="仿宋" w:cs="Times New Roman"/>
          <w:sz w:val="24"/>
          <w:szCs w:val="24"/>
          <w:lang w:val="en-US" w:eastAsia="zh-CN" w:bidi="ar-SA"/>
        </w:rPr>
        <w:t>完成</w:t>
      </w:r>
      <w:r>
        <w:rPr>
          <w:rFonts w:hint="default" w:ascii="Times New Roman" w:hAnsi="Times New Roman" w:eastAsia="仿宋" w:cs="Times New Roman"/>
          <w:sz w:val="24"/>
          <w:szCs w:val="24"/>
          <w:lang w:val="en-US" w:eastAsia="zh-CN" w:bidi="ar-SA"/>
        </w:rPr>
        <w:t>，</w:t>
      </w:r>
      <w:r>
        <w:rPr>
          <w:rFonts w:hint="eastAsia" w:ascii="Times New Roman" w:hAnsi="Times New Roman" w:eastAsia="仿宋" w:cs="Times New Roman"/>
          <w:sz w:val="24"/>
          <w:szCs w:val="24"/>
          <w:lang w:val="en-US" w:eastAsia="zh-CN" w:bidi="ar-SA"/>
        </w:rPr>
        <w:t>具体操作可参考试剂盒要求</w:t>
      </w:r>
      <w:r>
        <w:rPr>
          <w:rFonts w:hint="default" w:ascii="Times New Roman" w:hAnsi="Times New Roman" w:eastAsia="仿宋" w:cs="Times New Roman"/>
          <w:sz w:val="24"/>
          <w:szCs w:val="24"/>
          <w:lang w:val="en-US" w:eastAsia="zh-CN" w:bidi="ar-SA"/>
        </w:rPr>
        <w:t>。</w:t>
      </w:r>
    </w:p>
    <w:p w14:paraId="43AEE498">
      <w:pPr>
        <w:keepNext w:val="0"/>
        <w:keepLines w:val="0"/>
        <w:pageBreakBefore w:val="0"/>
        <w:widowControl w:val="0"/>
        <w:kinsoku/>
        <w:wordWrap/>
        <w:overflowPunct/>
        <w:topLinePunct w:val="0"/>
        <w:autoSpaceDE/>
        <w:autoSpaceDN/>
        <w:bidi w:val="0"/>
        <w:adjustRightInd/>
        <w:snapToGrid/>
        <w:spacing w:line="480" w:lineRule="exact"/>
        <w:ind w:right="0"/>
        <w:textAlignment w:val="auto"/>
        <w:rPr>
          <w:rFonts w:hint="eastAsia" w:ascii="Times New Roman" w:hAnsi="Times New Roman" w:eastAsia="仿宋" w:cs="Times New Roman"/>
          <w:sz w:val="24"/>
          <w:szCs w:val="24"/>
          <w:lang w:val="en-US" w:eastAsia="zh-CN" w:bidi="ar-SA"/>
        </w:rPr>
      </w:pPr>
      <w:r>
        <w:rPr>
          <w:rFonts w:hint="eastAsia" w:eastAsia="仿宋" w:cs="Times New Roman"/>
          <w:sz w:val="24"/>
          <w:szCs w:val="24"/>
          <w:lang w:val="en-US" w:eastAsia="zh-CN" w:bidi="ar-SA"/>
        </w:rPr>
        <w:t>4）</w:t>
      </w:r>
      <w:r>
        <w:rPr>
          <w:rFonts w:hint="eastAsia" w:ascii="Times New Roman" w:hAnsi="Times New Roman" w:eastAsia="仿宋" w:cs="Times New Roman"/>
          <w:sz w:val="24"/>
          <w:szCs w:val="24"/>
          <w:lang w:val="en-US" w:eastAsia="zh-CN" w:bidi="ar-SA"/>
        </w:rPr>
        <w:t>环境DNA提取也可参照GB/T 40226中的操作步骤，采用离心柱法和磁珠法等常规分子生物学造作提取DNA。</w:t>
      </w:r>
    </w:p>
    <w:p w14:paraId="0D67F92C">
      <w:pPr>
        <w:keepNext w:val="0"/>
        <w:keepLines w:val="0"/>
        <w:pageBreakBefore w:val="0"/>
        <w:widowControl w:val="0"/>
        <w:kinsoku/>
        <w:wordWrap/>
        <w:overflowPunct/>
        <w:topLinePunct w:val="0"/>
        <w:autoSpaceDE/>
        <w:autoSpaceDN/>
        <w:bidi w:val="0"/>
        <w:adjustRightInd/>
        <w:snapToGrid/>
        <w:spacing w:line="480" w:lineRule="exact"/>
        <w:ind w:right="0"/>
        <w:textAlignment w:val="auto"/>
        <w:rPr>
          <w:rFonts w:hint="default" w:ascii="Times New Roman" w:hAnsi="Times New Roman" w:eastAsia="仿宋" w:cs="Times New Roman"/>
          <w:sz w:val="24"/>
          <w:szCs w:val="24"/>
          <w:lang w:val="en-US" w:eastAsia="zh-CN" w:bidi="ar-SA"/>
        </w:rPr>
      </w:pPr>
      <w:r>
        <w:rPr>
          <w:rFonts w:hint="eastAsia" w:eastAsia="仿宋" w:cs="Times New Roman"/>
          <w:sz w:val="24"/>
          <w:szCs w:val="24"/>
          <w:lang w:val="en-US" w:eastAsia="zh-CN" w:bidi="ar-SA"/>
        </w:rPr>
        <w:t>5）eDNA纯化采用符合要求的柱式PCR产物纯化试剂盒完成，具体操作可参考试剂盒要求。</w:t>
      </w:r>
    </w:p>
    <w:p w14:paraId="7F92FCC8">
      <w:pPr>
        <w:keepNext w:val="0"/>
        <w:keepLines w:val="0"/>
        <w:widowControl/>
        <w:suppressLineNumbers w:val="0"/>
        <w:jc w:val="both"/>
        <w:rPr>
          <w:rFonts w:hint="default" w:ascii="Times New Roman" w:hAnsi="Times New Roman" w:eastAsia="宋体" w:cs="Times New Roman"/>
          <w:highlight w:val="yellow"/>
          <w:lang w:val="en-US" w:eastAsia="zh-CN"/>
        </w:rPr>
      </w:pPr>
      <w:r>
        <w:rPr>
          <w:rFonts w:hint="eastAsia" w:ascii="Times New Roman" w:hAnsi="Times New Roman" w:eastAsia="仿宋" w:cs="Times New Roman"/>
          <w:sz w:val="24"/>
          <w:szCs w:val="24"/>
          <w:highlight w:val="none"/>
          <w:lang w:val="en-US" w:eastAsia="zh-CN" w:bidi="ar-SA"/>
        </w:rPr>
        <w:t>【条文说明】</w:t>
      </w:r>
      <w:r>
        <w:rPr>
          <w:rFonts w:hint="default" w:ascii="Times New Roman" w:hAnsi="Times New Roman" w:eastAsia="仿宋" w:cs="Times New Roman"/>
          <w:sz w:val="24"/>
          <w:szCs w:val="24"/>
          <w:lang w:val="en-US" w:eastAsia="zh-CN" w:bidi="ar-SA"/>
        </w:rPr>
        <w:t>Piggott</w:t>
      </w:r>
      <w:r>
        <w:rPr>
          <w:rFonts w:hint="eastAsia" w:ascii="Times New Roman" w:hAnsi="Times New Roman" w:eastAsia="仿宋" w:cs="Times New Roman"/>
          <w:sz w:val="24"/>
          <w:szCs w:val="24"/>
          <w:lang w:val="en-US" w:eastAsia="zh-CN" w:bidi="ar-SA"/>
        </w:rPr>
        <w:t>等采用</w:t>
      </w:r>
      <w:r>
        <w:rPr>
          <w:rFonts w:hint="default" w:ascii="Times New Roman" w:hAnsi="Times New Roman" w:eastAsia="仿宋" w:cs="Times New Roman"/>
          <w:sz w:val="24"/>
          <w:szCs w:val="24"/>
          <w:lang w:val="en-US" w:eastAsia="zh-CN" w:bidi="ar-SA"/>
        </w:rPr>
        <w:t>eDNA</w:t>
      </w:r>
      <w:r>
        <w:rPr>
          <w:rFonts w:hint="eastAsia" w:ascii="Times New Roman" w:hAnsi="Times New Roman" w:eastAsia="仿宋" w:cs="Times New Roman"/>
          <w:sz w:val="24"/>
          <w:szCs w:val="24"/>
          <w:lang w:val="en-US" w:eastAsia="zh-CN" w:bidi="ar-SA"/>
        </w:rPr>
        <w:t>监测濒危鱼类澳洲麦氏鲈</w:t>
      </w:r>
      <w:r>
        <w:rPr>
          <w:rFonts w:hint="default" w:ascii="Times New Roman" w:hAnsi="Times New Roman" w:eastAsia="仿宋" w:cs="Times New Roman"/>
          <w:sz w:val="24"/>
          <w:szCs w:val="24"/>
          <w:lang w:val="en-US" w:eastAsia="zh-CN" w:bidi="ar-SA"/>
        </w:rPr>
        <w:t>(Macquaria australasica)</w:t>
      </w:r>
      <w:r>
        <w:rPr>
          <w:rFonts w:hint="eastAsia" w:ascii="Times New Roman" w:hAnsi="Times New Roman" w:eastAsia="仿宋" w:cs="Times New Roman"/>
          <w:sz w:val="24"/>
          <w:szCs w:val="24"/>
          <w:lang w:val="en-US" w:eastAsia="zh-CN" w:bidi="ar-SA"/>
        </w:rPr>
        <w:t>研究发现：基于商业试剂盒</w:t>
      </w:r>
      <w:r>
        <w:rPr>
          <w:rFonts w:hint="default" w:ascii="Times New Roman" w:hAnsi="Times New Roman" w:eastAsia="仿宋" w:cs="Times New Roman"/>
          <w:sz w:val="24"/>
          <w:szCs w:val="24"/>
          <w:lang w:val="en-US" w:eastAsia="zh-CN" w:bidi="ar-SA"/>
        </w:rPr>
        <w:t>QIAGEN DNasy</w:t>
      </w:r>
      <w:r>
        <w:rPr>
          <w:rFonts w:hint="eastAsia" w:ascii="Times New Roman" w:hAnsi="Times New Roman" w:eastAsia="仿宋" w:cs="Times New Roman"/>
          <w:sz w:val="24"/>
          <w:szCs w:val="24"/>
          <w:lang w:val="en-US" w:eastAsia="zh-CN" w:bidi="ar-SA"/>
        </w:rPr>
        <w:t>试剂盒比传统酚氯仿的效果更高。《高通量基因测序样本预处理方法第</w:t>
      </w:r>
      <w:r>
        <w:rPr>
          <w:rFonts w:hint="default" w:ascii="Times New Roman" w:hAnsi="Times New Roman" w:eastAsia="仿宋" w:cs="Times New Roman"/>
          <w:sz w:val="24"/>
          <w:szCs w:val="24"/>
          <w:lang w:val="en-US" w:eastAsia="zh-CN" w:bidi="ar-SA"/>
        </w:rPr>
        <w:t>1</w:t>
      </w:r>
      <w:r>
        <w:rPr>
          <w:rFonts w:hint="eastAsia" w:ascii="Times New Roman" w:hAnsi="Times New Roman" w:eastAsia="仿宋" w:cs="Times New Roman"/>
          <w:sz w:val="24"/>
          <w:szCs w:val="24"/>
          <w:lang w:val="en-US" w:eastAsia="zh-CN" w:bidi="ar-SA"/>
        </w:rPr>
        <w:t>部分：动物组织样本预处理》（</w:t>
      </w:r>
      <w:r>
        <w:rPr>
          <w:rFonts w:hint="default" w:ascii="Times New Roman" w:hAnsi="Times New Roman" w:eastAsia="仿宋" w:cs="Times New Roman"/>
          <w:sz w:val="24"/>
          <w:szCs w:val="24"/>
          <w:lang w:val="en-US" w:eastAsia="zh-CN" w:bidi="ar-SA"/>
        </w:rPr>
        <w:t>GB/T 33681.1</w:t>
      </w:r>
      <w:r>
        <w:rPr>
          <w:rFonts w:hint="eastAsia" w:ascii="Times New Roman" w:hAnsi="Times New Roman" w:eastAsia="仿宋" w:cs="Times New Roman"/>
          <w:sz w:val="24"/>
          <w:szCs w:val="24"/>
          <w:lang w:val="en-US" w:eastAsia="zh-CN" w:bidi="ar-SA"/>
        </w:rPr>
        <w:t>）中对于核酸提取的定义，核酸提取是用物理、化学或生物酶的方法，释放生物组织样本中的核酸并对它进行纯化，充分去除生物组织样本中的蛋白质、脂类等</w:t>
      </w:r>
      <w:r>
        <w:rPr>
          <w:rFonts w:hint="default" w:ascii="Times New Roman" w:hAnsi="Times New Roman" w:eastAsia="仿宋" w:cs="Times New Roman"/>
          <w:sz w:val="24"/>
          <w:szCs w:val="24"/>
          <w:lang w:val="en-US" w:eastAsia="zh-CN" w:bidi="ar-SA"/>
        </w:rPr>
        <w:t>PCR</w:t>
      </w:r>
      <w:r>
        <w:rPr>
          <w:rFonts w:hint="eastAsia" w:ascii="Times New Roman" w:hAnsi="Times New Roman" w:eastAsia="仿宋" w:cs="Times New Roman"/>
          <w:sz w:val="24"/>
          <w:szCs w:val="24"/>
          <w:lang w:val="en-US" w:eastAsia="zh-CN" w:bidi="ar-SA"/>
        </w:rPr>
        <w:t>抑制剂以及提取核酸时加入的试剂，保证核酸的质量和浓度的稳定，能满足实验要求。因此，本研究对两种情况均进行了规定。</w:t>
      </w:r>
    </w:p>
    <w:p w14:paraId="470943C0">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0" w:leftChars="0" w:right="0" w:firstLine="480" w:firstLineChars="200"/>
        <w:jc w:val="both"/>
        <w:textAlignment w:val="auto"/>
        <w:rPr>
          <w:rFonts w:hint="default" w:ascii="Times New Roman" w:hAnsi="Times New Roman" w:eastAsia="仿宋" w:cs="Times New Roman"/>
          <w:sz w:val="24"/>
          <w:szCs w:val="24"/>
          <w:lang w:val="en-US" w:eastAsia="zh-CN" w:bidi="ar-SA"/>
        </w:rPr>
      </w:pPr>
      <w:r>
        <w:rPr>
          <w:rFonts w:hint="default" w:ascii="Times New Roman" w:hAnsi="Times New Roman" w:eastAsia="仿宋" w:cs="Times New Roman"/>
          <w:sz w:val="24"/>
          <w:szCs w:val="24"/>
          <w:lang w:val="en-US" w:eastAsia="zh-CN" w:bidi="ar-SA"/>
        </w:rPr>
        <w:t>DNA</w:t>
      </w:r>
      <w:r>
        <w:rPr>
          <w:rFonts w:hint="eastAsia" w:eastAsia="仿宋" w:cs="Times New Roman"/>
          <w:sz w:val="24"/>
          <w:szCs w:val="24"/>
          <w:lang w:val="en-US" w:eastAsia="zh-CN" w:bidi="ar-SA"/>
        </w:rPr>
        <w:t>质量</w:t>
      </w:r>
      <w:r>
        <w:rPr>
          <w:rFonts w:hint="default" w:ascii="Times New Roman" w:hAnsi="Times New Roman" w:eastAsia="仿宋" w:cs="Times New Roman"/>
          <w:sz w:val="24"/>
          <w:szCs w:val="24"/>
          <w:lang w:val="en-US" w:eastAsia="zh-CN" w:bidi="ar-SA"/>
        </w:rPr>
        <w:t>与保存</w:t>
      </w:r>
    </w:p>
    <w:p w14:paraId="31388119">
      <w:pPr>
        <w:keepNext w:val="0"/>
        <w:keepLines w:val="0"/>
        <w:pageBreakBefore w:val="0"/>
        <w:widowControl w:val="0"/>
        <w:kinsoku/>
        <w:wordWrap/>
        <w:overflowPunct/>
        <w:topLinePunct w:val="0"/>
        <w:autoSpaceDE/>
        <w:autoSpaceDN/>
        <w:bidi w:val="0"/>
        <w:adjustRightInd/>
        <w:snapToGrid/>
        <w:spacing w:line="480" w:lineRule="exact"/>
        <w:ind w:right="0"/>
        <w:textAlignment w:val="auto"/>
        <w:rPr>
          <w:rFonts w:hint="default" w:ascii="Times New Roman" w:hAnsi="Times New Roman" w:eastAsia="仿宋" w:cs="Times New Roman"/>
          <w:sz w:val="24"/>
          <w:szCs w:val="24"/>
          <w:lang w:val="en-US" w:eastAsia="zh-CN" w:bidi="ar-SA"/>
        </w:rPr>
      </w:pPr>
      <w:r>
        <w:rPr>
          <w:rFonts w:hint="eastAsia" w:eastAsia="仿宋" w:cs="Times New Roman"/>
          <w:sz w:val="24"/>
          <w:szCs w:val="24"/>
          <w:lang w:val="en-US" w:eastAsia="zh-CN" w:bidi="ar-SA"/>
        </w:rPr>
        <w:t>1）</w:t>
      </w:r>
      <w:r>
        <w:rPr>
          <w:rFonts w:hint="eastAsia" w:ascii="Times New Roman" w:hAnsi="Times New Roman" w:eastAsia="仿宋" w:cs="Times New Roman"/>
          <w:sz w:val="24"/>
          <w:szCs w:val="24"/>
          <w:lang w:val="en-US" w:eastAsia="zh-CN" w:bidi="ar-SA"/>
        </w:rPr>
        <w:t>采用</w:t>
      </w:r>
      <w:r>
        <w:rPr>
          <w:rFonts w:hint="default" w:ascii="Times New Roman" w:hAnsi="Times New Roman" w:eastAsia="仿宋" w:cs="Times New Roman"/>
          <w:sz w:val="24"/>
          <w:szCs w:val="24"/>
          <w:lang w:val="en-US" w:eastAsia="zh-CN" w:bidi="ar-SA"/>
        </w:rPr>
        <w:t>微量紫外</w:t>
      </w:r>
      <w:r>
        <w:rPr>
          <w:rFonts w:hint="eastAsia" w:eastAsia="仿宋" w:cs="Times New Roman"/>
          <w:sz w:val="24"/>
          <w:szCs w:val="24"/>
          <w:lang w:val="en-US" w:eastAsia="zh-CN" w:bidi="ar-SA"/>
        </w:rPr>
        <w:t>分</w:t>
      </w:r>
      <w:r>
        <w:rPr>
          <w:rFonts w:hint="default" w:ascii="Times New Roman" w:hAnsi="Times New Roman" w:eastAsia="仿宋" w:cs="Times New Roman"/>
          <w:sz w:val="24"/>
          <w:szCs w:val="24"/>
          <w:lang w:val="en-US" w:eastAsia="zh-CN" w:bidi="ar-SA"/>
        </w:rPr>
        <w:t>光光度计检测总DNA浓度和质量，利用2.0%琼脂糖凝胶电泳分析DNA完整性。样本DNA浓度应不低于1 ng/μL，最佳浓度范围为10</w:t>
      </w:r>
      <w:r>
        <w:rPr>
          <w:rFonts w:hint="eastAsia" w:eastAsia="仿宋" w:cs="Times New Roman"/>
          <w:sz w:val="24"/>
          <w:szCs w:val="24"/>
          <w:lang w:val="en-US" w:eastAsia="zh-CN" w:bidi="ar-SA"/>
        </w:rPr>
        <w:t>~</w:t>
      </w:r>
      <w:r>
        <w:rPr>
          <w:rFonts w:hint="default" w:ascii="Times New Roman" w:hAnsi="Times New Roman" w:eastAsia="仿宋" w:cs="Times New Roman"/>
          <w:sz w:val="24"/>
          <w:szCs w:val="24"/>
          <w:lang w:val="en-US" w:eastAsia="zh-CN" w:bidi="ar-SA"/>
        </w:rPr>
        <w:t>100 ng/μL。OD</w:t>
      </w:r>
      <w:r>
        <w:rPr>
          <w:rFonts w:hint="default" w:ascii="Times New Roman" w:hAnsi="Times New Roman" w:eastAsia="仿宋" w:cs="Times New Roman"/>
          <w:sz w:val="24"/>
          <w:szCs w:val="24"/>
          <w:vertAlign w:val="subscript"/>
          <w:lang w:val="en-US" w:eastAsia="zh-CN" w:bidi="ar-SA"/>
        </w:rPr>
        <w:t>260 nm</w:t>
      </w:r>
      <w:r>
        <w:rPr>
          <w:rFonts w:hint="default" w:ascii="Times New Roman" w:hAnsi="Times New Roman" w:eastAsia="仿宋" w:cs="Times New Roman"/>
          <w:sz w:val="24"/>
          <w:szCs w:val="24"/>
          <w:lang w:val="en-US" w:eastAsia="zh-CN" w:bidi="ar-SA"/>
        </w:rPr>
        <w:t>/OD</w:t>
      </w:r>
      <w:r>
        <w:rPr>
          <w:rFonts w:hint="default" w:ascii="Times New Roman" w:hAnsi="Times New Roman" w:eastAsia="仿宋" w:cs="Times New Roman"/>
          <w:sz w:val="24"/>
          <w:szCs w:val="24"/>
          <w:vertAlign w:val="subscript"/>
          <w:lang w:val="en-US" w:eastAsia="zh-CN" w:bidi="ar-SA"/>
        </w:rPr>
        <w:t>280 nm</w:t>
      </w:r>
      <w:r>
        <w:rPr>
          <w:rFonts w:hint="default" w:ascii="Times New Roman" w:hAnsi="Times New Roman" w:eastAsia="仿宋" w:cs="Times New Roman"/>
          <w:sz w:val="24"/>
          <w:szCs w:val="24"/>
          <w:lang w:val="en-US" w:eastAsia="zh-CN" w:bidi="ar-SA"/>
        </w:rPr>
        <w:t>比值介于1.8</w:t>
      </w:r>
      <w:r>
        <w:rPr>
          <w:rFonts w:hint="eastAsia" w:eastAsia="仿宋" w:cs="Times New Roman"/>
          <w:sz w:val="24"/>
          <w:szCs w:val="24"/>
          <w:lang w:val="en-US" w:eastAsia="zh-CN" w:bidi="ar-SA"/>
        </w:rPr>
        <w:t>~</w:t>
      </w:r>
      <w:r>
        <w:rPr>
          <w:rFonts w:hint="default" w:ascii="Times New Roman" w:hAnsi="Times New Roman" w:eastAsia="仿宋" w:cs="Times New Roman"/>
          <w:sz w:val="24"/>
          <w:szCs w:val="24"/>
          <w:lang w:val="en-US" w:eastAsia="zh-CN" w:bidi="ar-SA"/>
        </w:rPr>
        <w:t>2.0之间，OD</w:t>
      </w:r>
      <w:r>
        <w:rPr>
          <w:rFonts w:hint="default" w:ascii="Times New Roman" w:hAnsi="Times New Roman" w:eastAsia="仿宋" w:cs="Times New Roman"/>
          <w:sz w:val="24"/>
          <w:szCs w:val="24"/>
          <w:vertAlign w:val="subscript"/>
          <w:lang w:val="en-US" w:eastAsia="zh-CN" w:bidi="ar-SA"/>
        </w:rPr>
        <w:t>260 nm</w:t>
      </w:r>
      <w:r>
        <w:rPr>
          <w:rFonts w:hint="default" w:ascii="Times New Roman" w:hAnsi="Times New Roman" w:eastAsia="仿宋" w:cs="Times New Roman"/>
          <w:sz w:val="24"/>
          <w:szCs w:val="24"/>
          <w:lang w:val="en-US" w:eastAsia="zh-CN" w:bidi="ar-SA"/>
        </w:rPr>
        <w:t>/OD</w:t>
      </w:r>
      <w:r>
        <w:rPr>
          <w:rFonts w:hint="default" w:ascii="Times New Roman" w:hAnsi="Times New Roman" w:eastAsia="仿宋" w:cs="Times New Roman"/>
          <w:sz w:val="24"/>
          <w:szCs w:val="24"/>
          <w:vertAlign w:val="subscript"/>
          <w:lang w:val="en-US" w:eastAsia="zh-CN" w:bidi="ar-SA"/>
        </w:rPr>
        <w:t>230 nm</w:t>
      </w:r>
      <w:r>
        <w:rPr>
          <w:rFonts w:hint="eastAsia" w:ascii="Times New Roman" w:hAnsi="Times New Roman" w:eastAsia="仿宋" w:cs="Times New Roman"/>
          <w:sz w:val="24"/>
          <w:szCs w:val="24"/>
          <w:lang w:val="en-US" w:eastAsia="zh-CN" w:bidi="ar-SA"/>
        </w:rPr>
        <w:t>应</w:t>
      </w:r>
      <w:r>
        <w:rPr>
          <w:rFonts w:hint="default" w:ascii="Times New Roman" w:hAnsi="Times New Roman" w:eastAsia="仿宋" w:cs="Times New Roman"/>
          <w:sz w:val="24"/>
          <w:szCs w:val="24"/>
          <w:lang w:val="en-US" w:eastAsia="zh-CN" w:bidi="ar-SA"/>
        </w:rPr>
        <w:t>大于2.0。DNA在-20℃及以下保存，避免反复冻融。</w:t>
      </w:r>
    </w:p>
    <w:p w14:paraId="26478B55">
      <w:pPr>
        <w:keepNext w:val="0"/>
        <w:keepLines w:val="0"/>
        <w:pageBreakBefore w:val="0"/>
        <w:widowControl w:val="0"/>
        <w:kinsoku/>
        <w:wordWrap/>
        <w:overflowPunct/>
        <w:topLinePunct w:val="0"/>
        <w:autoSpaceDE/>
        <w:autoSpaceDN/>
        <w:bidi w:val="0"/>
        <w:adjustRightInd/>
        <w:snapToGrid/>
        <w:spacing w:line="480" w:lineRule="exact"/>
        <w:ind w:right="0"/>
        <w:textAlignment w:val="auto"/>
        <w:rPr>
          <w:rFonts w:hint="default" w:ascii="Times New Roman" w:hAnsi="Times New Roman" w:eastAsia="仿宋" w:cs="Times New Roman"/>
          <w:sz w:val="24"/>
          <w:szCs w:val="24"/>
          <w:lang w:val="en-US" w:eastAsia="zh-CN" w:bidi="ar-SA"/>
        </w:rPr>
      </w:pPr>
      <w:r>
        <w:rPr>
          <w:rFonts w:hint="eastAsia" w:eastAsia="仿宋" w:cs="Times New Roman"/>
          <w:sz w:val="24"/>
          <w:szCs w:val="24"/>
          <w:lang w:val="en-US" w:eastAsia="zh-CN" w:bidi="ar-SA"/>
        </w:rPr>
        <w:t>2）</w:t>
      </w:r>
      <w:r>
        <w:rPr>
          <w:rFonts w:hint="default" w:ascii="Times New Roman" w:hAnsi="Times New Roman" w:eastAsia="仿宋" w:cs="Times New Roman"/>
          <w:sz w:val="24"/>
          <w:szCs w:val="24"/>
          <w:lang w:val="en-US" w:eastAsia="zh-CN" w:bidi="ar-SA"/>
        </w:rPr>
        <w:t>DNA完整性要求：有单一且清晰明亮的主带，无大量弥散状降解。</w:t>
      </w:r>
    </w:p>
    <w:p w14:paraId="600456AA">
      <w:pPr>
        <w:keepNext w:val="0"/>
        <w:keepLines w:val="0"/>
        <w:widowControl/>
        <w:suppressLineNumbers w:val="0"/>
        <w:jc w:val="both"/>
        <w:rPr>
          <w:rFonts w:hint="eastAsia" w:ascii="Times New Roman" w:hAnsi="Times New Roman" w:eastAsia="仿宋" w:cs="Times New Roman"/>
          <w:sz w:val="24"/>
          <w:szCs w:val="24"/>
          <w:lang w:val="en-US" w:eastAsia="zh-CN" w:bidi="ar-SA"/>
        </w:rPr>
      </w:pPr>
      <w:r>
        <w:rPr>
          <w:rFonts w:hint="eastAsia" w:ascii="Times New Roman" w:hAnsi="Times New Roman" w:eastAsia="仿宋" w:cs="Times New Roman"/>
          <w:sz w:val="24"/>
          <w:szCs w:val="24"/>
          <w:highlight w:val="none"/>
          <w:lang w:val="en-US" w:eastAsia="zh-CN" w:bidi="ar-SA"/>
        </w:rPr>
        <w:t>【条文说明】</w:t>
      </w:r>
      <w:r>
        <w:rPr>
          <w:rFonts w:hint="eastAsia" w:ascii="Times New Roman" w:hAnsi="Times New Roman" w:eastAsia="仿宋" w:cs="Times New Roman"/>
          <w:sz w:val="24"/>
          <w:szCs w:val="24"/>
          <w:lang w:val="en-US" w:eastAsia="zh-CN" w:bidi="ar-SA"/>
        </w:rPr>
        <w:t>按</w:t>
      </w:r>
      <w:r>
        <w:rPr>
          <w:rFonts w:hint="default" w:ascii="Times New Roman" w:hAnsi="Times New Roman" w:eastAsia="仿宋" w:cs="Times New Roman"/>
          <w:sz w:val="24"/>
          <w:szCs w:val="24"/>
          <w:lang w:val="en-US" w:eastAsia="zh-CN" w:bidi="ar-SA"/>
        </w:rPr>
        <w:t>GB/T 37874</w:t>
      </w:r>
      <w:r>
        <w:rPr>
          <w:rFonts w:hint="eastAsia" w:ascii="Times New Roman" w:hAnsi="Times New Roman" w:eastAsia="仿宋" w:cs="Times New Roman"/>
          <w:sz w:val="24"/>
          <w:szCs w:val="24"/>
          <w:lang w:val="en-US" w:eastAsia="zh-CN" w:bidi="ar-SA"/>
        </w:rPr>
        <w:t>《核酸提取纯化方法评价通则》的规定，集中常见的生物样本合格的</w:t>
      </w:r>
      <w:r>
        <w:rPr>
          <w:rFonts w:hint="default" w:ascii="Times New Roman" w:hAnsi="Times New Roman" w:eastAsia="仿宋" w:cs="Times New Roman"/>
          <w:sz w:val="24"/>
          <w:szCs w:val="24"/>
          <w:lang w:val="en-US" w:eastAsia="zh-CN" w:bidi="ar-SA"/>
        </w:rPr>
        <w:t>DNA</w:t>
      </w:r>
      <w:r>
        <w:rPr>
          <w:rFonts w:hint="eastAsia" w:ascii="Times New Roman" w:hAnsi="Times New Roman" w:eastAsia="仿宋" w:cs="Times New Roman"/>
          <w:sz w:val="24"/>
          <w:szCs w:val="24"/>
          <w:lang w:val="en-US" w:eastAsia="zh-CN" w:bidi="ar-SA"/>
        </w:rPr>
        <w:t>不低于</w:t>
      </w:r>
      <w:r>
        <w:rPr>
          <w:rFonts w:hint="default" w:ascii="Times New Roman" w:hAnsi="Times New Roman" w:eastAsia="仿宋" w:cs="Times New Roman"/>
          <w:sz w:val="24"/>
          <w:szCs w:val="24"/>
          <w:lang w:val="en-US" w:eastAsia="zh-CN" w:bidi="ar-SA"/>
        </w:rPr>
        <w:t>1</w:t>
      </w:r>
      <w:r>
        <w:rPr>
          <w:rFonts w:hint="eastAsia" w:ascii="Times New Roman" w:hAnsi="Times New Roman" w:eastAsia="仿宋" w:cs="Times New Roman"/>
          <w:sz w:val="24"/>
          <w:szCs w:val="24"/>
          <w:lang w:val="en-US" w:eastAsia="zh-CN" w:bidi="ar-SA"/>
        </w:rPr>
        <w:t>µg，在</w:t>
      </w:r>
      <w:r>
        <w:rPr>
          <w:rFonts w:hint="default" w:ascii="Times New Roman" w:hAnsi="Times New Roman" w:eastAsia="仿宋" w:cs="Times New Roman"/>
          <w:sz w:val="24"/>
          <w:szCs w:val="24"/>
          <w:lang w:val="en-US" w:eastAsia="zh-CN" w:bidi="ar-SA"/>
        </w:rPr>
        <w:t>260</w:t>
      </w:r>
      <w:r>
        <w:rPr>
          <w:rFonts w:hint="eastAsia" w:eastAsia="仿宋" w:cs="Times New Roman"/>
          <w:sz w:val="24"/>
          <w:szCs w:val="24"/>
          <w:lang w:val="en-US" w:eastAsia="zh-CN" w:bidi="ar-SA"/>
        </w:rPr>
        <w:t xml:space="preserve"> </w:t>
      </w:r>
      <w:r>
        <w:rPr>
          <w:rFonts w:hint="default" w:ascii="Times New Roman" w:hAnsi="Times New Roman" w:eastAsia="仿宋" w:cs="Times New Roman"/>
          <w:sz w:val="24"/>
          <w:szCs w:val="24"/>
          <w:lang w:val="en-US" w:eastAsia="zh-CN" w:bidi="ar-SA"/>
        </w:rPr>
        <w:t>nm</w:t>
      </w:r>
      <w:r>
        <w:rPr>
          <w:rFonts w:hint="eastAsia" w:ascii="Times New Roman" w:hAnsi="Times New Roman" w:eastAsia="仿宋" w:cs="Times New Roman"/>
          <w:sz w:val="24"/>
          <w:szCs w:val="24"/>
          <w:lang w:val="en-US" w:eastAsia="zh-CN" w:bidi="ar-SA"/>
        </w:rPr>
        <w:t>和</w:t>
      </w:r>
      <w:r>
        <w:rPr>
          <w:rFonts w:hint="default" w:ascii="Times New Roman" w:hAnsi="Times New Roman" w:eastAsia="仿宋" w:cs="Times New Roman"/>
          <w:sz w:val="24"/>
          <w:szCs w:val="24"/>
          <w:lang w:val="en-US" w:eastAsia="zh-CN" w:bidi="ar-SA"/>
        </w:rPr>
        <w:t>280</w:t>
      </w:r>
      <w:r>
        <w:rPr>
          <w:rFonts w:hint="eastAsia" w:eastAsia="仿宋" w:cs="Times New Roman"/>
          <w:sz w:val="24"/>
          <w:szCs w:val="24"/>
          <w:lang w:val="en-US" w:eastAsia="zh-CN" w:bidi="ar-SA"/>
        </w:rPr>
        <w:t xml:space="preserve"> </w:t>
      </w:r>
      <w:r>
        <w:rPr>
          <w:rFonts w:hint="default" w:ascii="Times New Roman" w:hAnsi="Times New Roman" w:eastAsia="仿宋" w:cs="Times New Roman"/>
          <w:sz w:val="24"/>
          <w:szCs w:val="24"/>
          <w:lang w:val="en-US" w:eastAsia="zh-CN" w:bidi="ar-SA"/>
        </w:rPr>
        <w:t>nm</w:t>
      </w:r>
      <w:r>
        <w:rPr>
          <w:rFonts w:hint="eastAsia" w:ascii="Times New Roman" w:hAnsi="Times New Roman" w:eastAsia="仿宋" w:cs="Times New Roman"/>
          <w:sz w:val="24"/>
          <w:szCs w:val="24"/>
          <w:lang w:val="en-US" w:eastAsia="zh-CN" w:bidi="ar-SA"/>
        </w:rPr>
        <w:t>波长处的吸光度值比值（</w:t>
      </w:r>
      <w:r>
        <w:rPr>
          <w:rFonts w:hint="default" w:ascii="Times New Roman" w:hAnsi="Times New Roman" w:eastAsia="仿宋" w:cs="Times New Roman"/>
          <w:sz w:val="24"/>
          <w:szCs w:val="24"/>
          <w:lang w:val="en-US" w:eastAsia="zh-CN" w:bidi="ar-SA"/>
        </w:rPr>
        <w:t>OD</w:t>
      </w:r>
      <w:r>
        <w:rPr>
          <w:rFonts w:hint="default" w:ascii="Times New Roman" w:hAnsi="Times New Roman" w:eastAsia="仿宋" w:cs="Times New Roman"/>
          <w:sz w:val="24"/>
          <w:szCs w:val="24"/>
          <w:vertAlign w:val="subscript"/>
          <w:lang w:val="en-US" w:eastAsia="zh-CN" w:bidi="ar-SA"/>
        </w:rPr>
        <w:t>260nm</w:t>
      </w:r>
      <w:r>
        <w:rPr>
          <w:rFonts w:hint="default" w:ascii="Times New Roman" w:hAnsi="Times New Roman" w:eastAsia="仿宋" w:cs="Times New Roman"/>
          <w:sz w:val="24"/>
          <w:szCs w:val="24"/>
          <w:lang w:val="en-US" w:eastAsia="zh-CN" w:bidi="ar-SA"/>
        </w:rPr>
        <w:t>/OD</w:t>
      </w:r>
      <w:r>
        <w:rPr>
          <w:rFonts w:hint="default" w:ascii="Times New Roman" w:hAnsi="Times New Roman" w:eastAsia="仿宋" w:cs="Times New Roman"/>
          <w:sz w:val="24"/>
          <w:szCs w:val="24"/>
          <w:vertAlign w:val="subscript"/>
          <w:lang w:val="en-US" w:eastAsia="zh-CN" w:bidi="ar-SA"/>
        </w:rPr>
        <w:t>280nm</w:t>
      </w:r>
      <w:r>
        <w:rPr>
          <w:rFonts w:hint="eastAsia" w:ascii="Times New Roman" w:hAnsi="Times New Roman" w:eastAsia="仿宋" w:cs="Times New Roman"/>
          <w:sz w:val="24"/>
          <w:szCs w:val="24"/>
          <w:lang w:val="en-US" w:eastAsia="zh-CN" w:bidi="ar-SA"/>
        </w:rPr>
        <w:t>）应在</w:t>
      </w:r>
      <w:r>
        <w:rPr>
          <w:rFonts w:hint="default" w:ascii="Times New Roman" w:hAnsi="Times New Roman" w:eastAsia="仿宋" w:cs="Times New Roman"/>
          <w:sz w:val="24"/>
          <w:szCs w:val="24"/>
          <w:lang w:val="en-US" w:eastAsia="zh-CN" w:bidi="ar-SA"/>
        </w:rPr>
        <w:t>1.7</w:t>
      </w:r>
      <w:r>
        <w:rPr>
          <w:rFonts w:hint="eastAsia" w:eastAsia="仿宋" w:cs="Times New Roman"/>
          <w:sz w:val="24"/>
          <w:szCs w:val="24"/>
          <w:lang w:val="en-US" w:eastAsia="zh-CN" w:bidi="ar-SA"/>
        </w:rPr>
        <w:t>~</w:t>
      </w:r>
      <w:r>
        <w:rPr>
          <w:rFonts w:hint="default" w:ascii="Times New Roman" w:hAnsi="Times New Roman" w:eastAsia="仿宋" w:cs="Times New Roman"/>
          <w:sz w:val="24"/>
          <w:szCs w:val="24"/>
          <w:lang w:val="en-US" w:eastAsia="zh-CN" w:bidi="ar-SA"/>
        </w:rPr>
        <w:t>1.9</w:t>
      </w:r>
      <w:r>
        <w:rPr>
          <w:rFonts w:hint="eastAsia" w:ascii="Times New Roman" w:hAnsi="Times New Roman" w:eastAsia="仿宋" w:cs="Times New Roman"/>
          <w:sz w:val="24"/>
          <w:szCs w:val="24"/>
          <w:lang w:val="en-US" w:eastAsia="zh-CN" w:bidi="ar-SA"/>
        </w:rPr>
        <w:t>范围内。若</w:t>
      </w:r>
      <w:r>
        <w:rPr>
          <w:rFonts w:hint="default" w:ascii="Times New Roman" w:hAnsi="Times New Roman" w:eastAsia="仿宋" w:cs="Times New Roman"/>
          <w:sz w:val="24"/>
          <w:szCs w:val="24"/>
          <w:lang w:val="en-US" w:eastAsia="zh-CN" w:bidi="ar-SA"/>
        </w:rPr>
        <w:t>OD</w:t>
      </w:r>
      <w:r>
        <w:rPr>
          <w:rFonts w:hint="default" w:ascii="Times New Roman" w:hAnsi="Times New Roman" w:eastAsia="仿宋" w:cs="Times New Roman"/>
          <w:sz w:val="24"/>
          <w:szCs w:val="24"/>
          <w:vertAlign w:val="subscript"/>
          <w:lang w:val="en-US" w:eastAsia="zh-CN" w:bidi="ar-SA"/>
        </w:rPr>
        <w:t>26</w:t>
      </w:r>
      <w:r>
        <w:rPr>
          <w:rFonts w:hint="eastAsia" w:eastAsia="仿宋" w:cs="Times New Roman"/>
          <w:sz w:val="24"/>
          <w:szCs w:val="24"/>
          <w:vertAlign w:val="subscript"/>
          <w:lang w:val="en-US" w:eastAsia="zh-CN" w:bidi="ar-SA"/>
        </w:rPr>
        <w:t>0</w:t>
      </w:r>
      <w:r>
        <w:rPr>
          <w:rFonts w:hint="default" w:ascii="Times New Roman" w:hAnsi="Times New Roman" w:eastAsia="仿宋" w:cs="Times New Roman"/>
          <w:sz w:val="24"/>
          <w:szCs w:val="24"/>
          <w:vertAlign w:val="subscript"/>
          <w:lang w:val="en-US" w:eastAsia="zh-CN" w:bidi="ar-SA"/>
        </w:rPr>
        <w:t>nm</w:t>
      </w:r>
      <w:r>
        <w:rPr>
          <w:rFonts w:hint="default" w:ascii="Times New Roman" w:hAnsi="Times New Roman" w:eastAsia="仿宋" w:cs="Times New Roman"/>
          <w:sz w:val="24"/>
          <w:szCs w:val="24"/>
          <w:lang w:val="en-US" w:eastAsia="zh-CN" w:bidi="ar-SA"/>
        </w:rPr>
        <w:t>/OD</w:t>
      </w:r>
      <w:r>
        <w:rPr>
          <w:rFonts w:hint="default" w:ascii="Times New Roman" w:hAnsi="Times New Roman" w:eastAsia="仿宋" w:cs="Times New Roman"/>
          <w:sz w:val="24"/>
          <w:szCs w:val="24"/>
          <w:vertAlign w:val="subscript"/>
          <w:lang w:val="en-US" w:eastAsia="zh-CN" w:bidi="ar-SA"/>
        </w:rPr>
        <w:t>280nm</w:t>
      </w:r>
      <w:r>
        <w:rPr>
          <w:rFonts w:hint="eastAsia" w:ascii="Times New Roman" w:hAnsi="Times New Roman" w:eastAsia="仿宋" w:cs="Times New Roman"/>
          <w:sz w:val="24"/>
          <w:szCs w:val="24"/>
          <w:lang w:val="en-US" w:eastAsia="zh-CN" w:bidi="ar-SA"/>
        </w:rPr>
        <w:t>值低于</w:t>
      </w:r>
      <w:r>
        <w:rPr>
          <w:rFonts w:hint="default" w:ascii="Times New Roman" w:hAnsi="Times New Roman" w:eastAsia="仿宋" w:cs="Times New Roman"/>
          <w:sz w:val="24"/>
          <w:szCs w:val="24"/>
          <w:lang w:val="en-US" w:eastAsia="zh-CN" w:bidi="ar-SA"/>
        </w:rPr>
        <w:t>1.7</w:t>
      </w:r>
      <w:r>
        <w:rPr>
          <w:rFonts w:hint="eastAsia" w:ascii="Times New Roman" w:hAnsi="Times New Roman" w:eastAsia="仿宋" w:cs="Times New Roman"/>
          <w:sz w:val="24"/>
          <w:szCs w:val="24"/>
          <w:lang w:val="en-US" w:eastAsia="zh-CN" w:bidi="ar-SA"/>
        </w:rPr>
        <w:t>，说明提取的</w:t>
      </w:r>
      <w:r>
        <w:rPr>
          <w:rFonts w:hint="default" w:ascii="Times New Roman" w:hAnsi="Times New Roman" w:eastAsia="仿宋" w:cs="Times New Roman"/>
          <w:sz w:val="24"/>
          <w:szCs w:val="24"/>
          <w:lang w:val="en-US" w:eastAsia="zh-CN" w:bidi="ar-SA"/>
        </w:rPr>
        <w:t>DNA</w:t>
      </w:r>
      <w:r>
        <w:rPr>
          <w:rFonts w:hint="eastAsia" w:ascii="Times New Roman" w:hAnsi="Times New Roman" w:eastAsia="仿宋" w:cs="Times New Roman"/>
          <w:sz w:val="24"/>
          <w:szCs w:val="24"/>
          <w:lang w:val="en-US" w:eastAsia="zh-CN" w:bidi="ar-SA"/>
        </w:rPr>
        <w:t>中有蛋白质、多酚等杂质污染；若</w:t>
      </w:r>
      <w:r>
        <w:rPr>
          <w:rFonts w:hint="default" w:ascii="Times New Roman" w:hAnsi="Times New Roman" w:eastAsia="仿宋" w:cs="Times New Roman"/>
          <w:sz w:val="24"/>
          <w:szCs w:val="24"/>
          <w:lang w:val="en-US" w:eastAsia="zh-CN" w:bidi="ar-SA"/>
        </w:rPr>
        <w:t>OD</w:t>
      </w:r>
      <w:r>
        <w:rPr>
          <w:rFonts w:hint="default" w:ascii="Times New Roman" w:hAnsi="Times New Roman" w:eastAsia="仿宋" w:cs="Times New Roman"/>
          <w:sz w:val="24"/>
          <w:szCs w:val="24"/>
          <w:vertAlign w:val="subscript"/>
          <w:lang w:val="en-US" w:eastAsia="zh-CN" w:bidi="ar-SA"/>
        </w:rPr>
        <w:t>26</w:t>
      </w:r>
      <w:r>
        <w:rPr>
          <w:rFonts w:hint="eastAsia" w:eastAsia="仿宋" w:cs="Times New Roman"/>
          <w:sz w:val="24"/>
          <w:szCs w:val="24"/>
          <w:vertAlign w:val="subscript"/>
          <w:lang w:val="en-US" w:eastAsia="zh-CN" w:bidi="ar-SA"/>
        </w:rPr>
        <w:t>0</w:t>
      </w:r>
      <w:r>
        <w:rPr>
          <w:rFonts w:hint="default" w:ascii="Times New Roman" w:hAnsi="Times New Roman" w:eastAsia="仿宋" w:cs="Times New Roman"/>
          <w:sz w:val="24"/>
          <w:szCs w:val="24"/>
          <w:vertAlign w:val="subscript"/>
          <w:lang w:val="en-US" w:eastAsia="zh-CN" w:bidi="ar-SA"/>
        </w:rPr>
        <w:t>nm</w:t>
      </w:r>
      <w:r>
        <w:rPr>
          <w:rFonts w:hint="default" w:ascii="Times New Roman" w:hAnsi="Times New Roman" w:eastAsia="仿宋" w:cs="Times New Roman"/>
          <w:sz w:val="24"/>
          <w:szCs w:val="24"/>
          <w:lang w:val="en-US" w:eastAsia="zh-CN" w:bidi="ar-SA"/>
        </w:rPr>
        <w:t>/OD</w:t>
      </w:r>
      <w:r>
        <w:rPr>
          <w:rFonts w:hint="default" w:ascii="Times New Roman" w:hAnsi="Times New Roman" w:eastAsia="仿宋" w:cs="Times New Roman"/>
          <w:sz w:val="24"/>
          <w:szCs w:val="24"/>
          <w:vertAlign w:val="subscript"/>
          <w:lang w:val="en-US" w:eastAsia="zh-CN" w:bidi="ar-SA"/>
        </w:rPr>
        <w:t>280nm</w:t>
      </w:r>
      <w:r>
        <w:rPr>
          <w:rFonts w:hint="eastAsia" w:ascii="Times New Roman" w:hAnsi="Times New Roman" w:eastAsia="仿宋" w:cs="Times New Roman"/>
          <w:sz w:val="24"/>
          <w:szCs w:val="24"/>
          <w:lang w:val="en-US" w:eastAsia="zh-CN" w:bidi="ar-SA"/>
        </w:rPr>
        <w:t>值高于</w:t>
      </w:r>
      <w:r>
        <w:rPr>
          <w:rFonts w:hint="default" w:ascii="Times New Roman" w:hAnsi="Times New Roman" w:eastAsia="仿宋" w:cs="Times New Roman"/>
          <w:sz w:val="24"/>
          <w:szCs w:val="24"/>
          <w:lang w:val="en-US" w:eastAsia="zh-CN" w:bidi="ar-SA"/>
        </w:rPr>
        <w:t>1.9</w:t>
      </w:r>
      <w:r>
        <w:rPr>
          <w:rFonts w:hint="eastAsia" w:ascii="Times New Roman" w:hAnsi="Times New Roman" w:eastAsia="仿宋" w:cs="Times New Roman"/>
          <w:sz w:val="24"/>
          <w:szCs w:val="24"/>
          <w:lang w:val="en-US" w:eastAsia="zh-CN" w:bidi="ar-SA"/>
        </w:rPr>
        <w:t>，说明提取的</w:t>
      </w:r>
      <w:r>
        <w:rPr>
          <w:rFonts w:hint="default" w:ascii="Times New Roman" w:hAnsi="Times New Roman" w:eastAsia="仿宋" w:cs="Times New Roman"/>
          <w:sz w:val="24"/>
          <w:szCs w:val="24"/>
          <w:lang w:val="en-US" w:eastAsia="zh-CN" w:bidi="ar-SA"/>
        </w:rPr>
        <w:t>DNA</w:t>
      </w:r>
      <w:r>
        <w:rPr>
          <w:rFonts w:hint="eastAsia" w:ascii="Times New Roman" w:hAnsi="Times New Roman" w:eastAsia="仿宋" w:cs="Times New Roman"/>
          <w:sz w:val="24"/>
          <w:szCs w:val="24"/>
          <w:lang w:val="en-US" w:eastAsia="zh-CN" w:bidi="ar-SA"/>
        </w:rPr>
        <w:t>可能有</w:t>
      </w:r>
      <w:r>
        <w:rPr>
          <w:rFonts w:hint="default" w:ascii="Times New Roman" w:hAnsi="Times New Roman" w:eastAsia="仿宋" w:cs="Times New Roman"/>
          <w:sz w:val="24"/>
          <w:szCs w:val="24"/>
          <w:lang w:val="en-US" w:eastAsia="zh-CN" w:bidi="ar-SA"/>
        </w:rPr>
        <w:t>RNA</w:t>
      </w:r>
      <w:r>
        <w:rPr>
          <w:rFonts w:hint="eastAsia" w:ascii="Times New Roman" w:hAnsi="Times New Roman" w:eastAsia="仿宋" w:cs="Times New Roman"/>
          <w:sz w:val="24"/>
          <w:szCs w:val="24"/>
          <w:lang w:val="en-US" w:eastAsia="zh-CN" w:bidi="ar-SA"/>
        </w:rPr>
        <w:t>污染。但是由于环境</w:t>
      </w:r>
      <w:r>
        <w:rPr>
          <w:rFonts w:hint="default" w:ascii="Times New Roman" w:hAnsi="Times New Roman" w:eastAsia="仿宋" w:cs="Times New Roman"/>
          <w:sz w:val="24"/>
          <w:szCs w:val="24"/>
          <w:lang w:val="en-US" w:eastAsia="zh-CN" w:bidi="ar-SA"/>
        </w:rPr>
        <w:t>DNA</w:t>
      </w:r>
      <w:r>
        <w:rPr>
          <w:rFonts w:hint="eastAsia" w:ascii="Times New Roman" w:hAnsi="Times New Roman" w:eastAsia="仿宋" w:cs="Times New Roman"/>
          <w:sz w:val="24"/>
          <w:szCs w:val="24"/>
          <w:lang w:val="en-US" w:eastAsia="zh-CN" w:bidi="ar-SA"/>
        </w:rPr>
        <w:t>不同于纯物种组织的</w:t>
      </w:r>
      <w:r>
        <w:rPr>
          <w:rFonts w:hint="default" w:ascii="Times New Roman" w:hAnsi="Times New Roman" w:eastAsia="仿宋" w:cs="Times New Roman"/>
          <w:sz w:val="24"/>
          <w:szCs w:val="24"/>
          <w:lang w:val="en-US" w:eastAsia="zh-CN" w:bidi="ar-SA"/>
        </w:rPr>
        <w:t>DNA</w:t>
      </w:r>
      <w:r>
        <w:rPr>
          <w:rFonts w:hint="eastAsia" w:ascii="Times New Roman" w:hAnsi="Times New Roman" w:eastAsia="仿宋" w:cs="Times New Roman"/>
          <w:sz w:val="24"/>
          <w:szCs w:val="24"/>
          <w:lang w:val="en-US" w:eastAsia="zh-CN" w:bidi="ar-SA"/>
        </w:rPr>
        <w:t>，存在更多来源的污染（如腐殖质等），吸光度比值可适当放宽。</w:t>
      </w:r>
      <w:r>
        <w:rPr>
          <w:rFonts w:hint="default" w:ascii="Times New Roman" w:hAnsi="Times New Roman" w:eastAsia="仿宋" w:cs="Times New Roman"/>
          <w:sz w:val="24"/>
          <w:szCs w:val="24"/>
          <w:lang w:val="en-US" w:eastAsia="zh-CN" w:bidi="ar-SA"/>
        </w:rPr>
        <w:t>eDNA</w:t>
      </w:r>
      <w:r>
        <w:rPr>
          <w:rFonts w:hint="eastAsia" w:ascii="Times New Roman" w:hAnsi="Times New Roman" w:eastAsia="仿宋" w:cs="Times New Roman"/>
          <w:sz w:val="24"/>
          <w:szCs w:val="24"/>
          <w:lang w:val="en-US" w:eastAsia="zh-CN" w:bidi="ar-SA"/>
        </w:rPr>
        <w:t>提取一般最终的洗脱体积为</w:t>
      </w:r>
      <w:r>
        <w:rPr>
          <w:rFonts w:hint="default" w:ascii="Times New Roman" w:hAnsi="Times New Roman" w:eastAsia="仿宋" w:cs="Times New Roman"/>
          <w:sz w:val="24"/>
          <w:szCs w:val="24"/>
          <w:lang w:val="en-US" w:eastAsia="zh-CN" w:bidi="ar-SA"/>
        </w:rPr>
        <w:t>100 µL</w:t>
      </w:r>
      <w:r>
        <w:rPr>
          <w:rFonts w:hint="eastAsia" w:ascii="Times New Roman" w:hAnsi="Times New Roman" w:eastAsia="仿宋" w:cs="Times New Roman"/>
          <w:sz w:val="24"/>
          <w:szCs w:val="24"/>
          <w:lang w:val="en-US" w:eastAsia="zh-CN" w:bidi="ar-SA"/>
        </w:rPr>
        <w:t>，按照</w:t>
      </w:r>
      <w:r>
        <w:rPr>
          <w:rFonts w:hint="default" w:ascii="Times New Roman" w:hAnsi="Times New Roman" w:eastAsia="仿宋" w:cs="Times New Roman"/>
          <w:sz w:val="24"/>
          <w:szCs w:val="24"/>
          <w:lang w:val="en-US" w:eastAsia="zh-CN" w:bidi="ar-SA"/>
        </w:rPr>
        <w:t>GB/T 37874</w:t>
      </w:r>
      <w:r>
        <w:rPr>
          <w:rFonts w:hint="eastAsia" w:ascii="Times New Roman" w:hAnsi="Times New Roman" w:eastAsia="仿宋" w:cs="Times New Roman"/>
          <w:sz w:val="24"/>
          <w:szCs w:val="24"/>
          <w:lang w:val="en-US" w:eastAsia="zh-CN" w:bidi="ar-SA"/>
        </w:rPr>
        <w:t>要求，</w:t>
      </w:r>
      <w:r>
        <w:rPr>
          <w:rFonts w:hint="default" w:ascii="Times New Roman" w:hAnsi="Times New Roman" w:eastAsia="仿宋" w:cs="Times New Roman"/>
          <w:sz w:val="24"/>
          <w:szCs w:val="24"/>
          <w:lang w:val="en-US" w:eastAsia="zh-CN" w:bidi="ar-SA"/>
        </w:rPr>
        <w:t>DNA</w:t>
      </w:r>
      <w:r>
        <w:rPr>
          <w:rFonts w:hint="eastAsia" w:ascii="Times New Roman" w:hAnsi="Times New Roman" w:eastAsia="仿宋" w:cs="Times New Roman"/>
          <w:sz w:val="24"/>
          <w:szCs w:val="24"/>
          <w:lang w:val="en-US" w:eastAsia="zh-CN" w:bidi="ar-SA"/>
        </w:rPr>
        <w:t>浓度应不低于</w:t>
      </w:r>
      <w:r>
        <w:rPr>
          <w:rFonts w:hint="default" w:ascii="Times New Roman" w:hAnsi="Times New Roman" w:eastAsia="仿宋" w:cs="Times New Roman"/>
          <w:sz w:val="24"/>
          <w:szCs w:val="24"/>
          <w:lang w:val="en-US" w:eastAsia="zh-CN" w:bidi="ar-SA"/>
        </w:rPr>
        <w:t>10 ng/µL</w:t>
      </w:r>
      <w:r>
        <w:rPr>
          <w:rFonts w:hint="eastAsia" w:ascii="Times New Roman" w:hAnsi="Times New Roman" w:eastAsia="仿宋" w:cs="Times New Roman"/>
          <w:sz w:val="24"/>
          <w:szCs w:val="24"/>
          <w:lang w:val="en-US" w:eastAsia="zh-CN" w:bidi="ar-SA"/>
        </w:rPr>
        <w:t>。但是由于环境</w:t>
      </w:r>
      <w:r>
        <w:rPr>
          <w:rFonts w:hint="default" w:ascii="Times New Roman" w:hAnsi="Times New Roman" w:eastAsia="仿宋" w:cs="Times New Roman"/>
          <w:sz w:val="24"/>
          <w:szCs w:val="24"/>
          <w:lang w:val="en-US" w:eastAsia="zh-CN" w:bidi="ar-SA"/>
        </w:rPr>
        <w:t>DNA</w:t>
      </w:r>
      <w:r>
        <w:rPr>
          <w:rFonts w:hint="eastAsia" w:ascii="Times New Roman" w:hAnsi="Times New Roman" w:eastAsia="仿宋" w:cs="Times New Roman"/>
          <w:sz w:val="24"/>
          <w:szCs w:val="24"/>
          <w:lang w:val="en-US" w:eastAsia="zh-CN" w:bidi="ar-SA"/>
        </w:rPr>
        <w:t>的来源样本中</w:t>
      </w:r>
      <w:r>
        <w:rPr>
          <w:rFonts w:hint="default" w:ascii="Times New Roman" w:hAnsi="Times New Roman" w:eastAsia="仿宋" w:cs="Times New Roman"/>
          <w:sz w:val="24"/>
          <w:szCs w:val="24"/>
          <w:lang w:val="en-US" w:eastAsia="zh-CN" w:bidi="ar-SA"/>
        </w:rPr>
        <w:t>DNA</w:t>
      </w:r>
      <w:r>
        <w:rPr>
          <w:rFonts w:hint="eastAsia" w:ascii="Times New Roman" w:hAnsi="Times New Roman" w:eastAsia="仿宋" w:cs="Times New Roman"/>
          <w:sz w:val="24"/>
          <w:szCs w:val="24"/>
          <w:lang w:val="en-US" w:eastAsia="zh-CN" w:bidi="ar-SA"/>
        </w:rPr>
        <w:t>含量偏低且含有大量的腐殖质等抑制物，因此浓度建议不低于</w:t>
      </w:r>
      <w:r>
        <w:rPr>
          <w:rFonts w:hint="default" w:ascii="Times New Roman" w:hAnsi="Times New Roman" w:eastAsia="仿宋" w:cs="Times New Roman"/>
          <w:sz w:val="24"/>
          <w:szCs w:val="24"/>
          <w:lang w:val="en-US" w:eastAsia="zh-CN" w:bidi="ar-SA"/>
        </w:rPr>
        <w:t>1 ng/µL</w:t>
      </w:r>
      <w:r>
        <w:rPr>
          <w:rFonts w:hint="eastAsia" w:ascii="Times New Roman" w:hAnsi="Times New Roman" w:eastAsia="仿宋" w:cs="Times New Roman"/>
          <w:sz w:val="24"/>
          <w:szCs w:val="24"/>
          <w:lang w:val="en-US" w:eastAsia="zh-CN" w:bidi="ar-SA"/>
        </w:rPr>
        <w:t>，纯度</w:t>
      </w:r>
      <w:r>
        <w:rPr>
          <w:rFonts w:hint="default" w:ascii="Times New Roman" w:hAnsi="Times New Roman" w:eastAsia="仿宋" w:cs="Times New Roman"/>
          <w:sz w:val="24"/>
          <w:szCs w:val="24"/>
          <w:lang w:val="en-US" w:eastAsia="zh-CN" w:bidi="ar-SA"/>
        </w:rPr>
        <w:t>OD</w:t>
      </w:r>
      <w:r>
        <w:rPr>
          <w:rFonts w:hint="default" w:ascii="Times New Roman" w:hAnsi="Times New Roman" w:eastAsia="仿宋" w:cs="Times New Roman"/>
          <w:sz w:val="24"/>
          <w:szCs w:val="24"/>
          <w:vertAlign w:val="subscript"/>
          <w:lang w:val="en-US" w:eastAsia="zh-CN" w:bidi="ar-SA"/>
        </w:rPr>
        <w:t>260nm</w:t>
      </w:r>
      <w:r>
        <w:rPr>
          <w:rFonts w:hint="default" w:ascii="Times New Roman" w:hAnsi="Times New Roman" w:eastAsia="仿宋" w:cs="Times New Roman"/>
          <w:sz w:val="24"/>
          <w:szCs w:val="24"/>
          <w:lang w:val="en-US" w:eastAsia="zh-CN" w:bidi="ar-SA"/>
        </w:rPr>
        <w:t>/OD</w:t>
      </w:r>
      <w:r>
        <w:rPr>
          <w:rFonts w:hint="default" w:ascii="Times New Roman" w:hAnsi="Times New Roman" w:eastAsia="仿宋" w:cs="Times New Roman"/>
          <w:sz w:val="24"/>
          <w:szCs w:val="24"/>
          <w:vertAlign w:val="subscript"/>
          <w:lang w:val="en-US" w:eastAsia="zh-CN" w:bidi="ar-SA"/>
        </w:rPr>
        <w:t>280nm</w:t>
      </w:r>
      <w:r>
        <w:rPr>
          <w:rFonts w:hint="eastAsia" w:ascii="Times New Roman" w:hAnsi="Times New Roman" w:eastAsia="仿宋" w:cs="Times New Roman"/>
          <w:sz w:val="24"/>
          <w:szCs w:val="24"/>
          <w:lang w:val="en-US" w:eastAsia="zh-CN" w:bidi="ar-SA"/>
        </w:rPr>
        <w:t>在</w:t>
      </w:r>
      <w:r>
        <w:rPr>
          <w:rFonts w:hint="default" w:ascii="Times New Roman" w:hAnsi="Times New Roman" w:eastAsia="仿宋" w:cs="Times New Roman"/>
          <w:sz w:val="24"/>
          <w:szCs w:val="24"/>
          <w:lang w:val="en-US" w:eastAsia="zh-CN" w:bidi="ar-SA"/>
        </w:rPr>
        <w:t>1.</w:t>
      </w:r>
      <w:r>
        <w:rPr>
          <w:rFonts w:hint="eastAsia" w:eastAsia="仿宋" w:cs="Times New Roman"/>
          <w:sz w:val="24"/>
          <w:szCs w:val="24"/>
          <w:lang w:val="en-US" w:eastAsia="zh-CN" w:bidi="ar-SA"/>
        </w:rPr>
        <w:t>8~</w:t>
      </w:r>
      <w:r>
        <w:rPr>
          <w:rFonts w:hint="default" w:ascii="Times New Roman" w:hAnsi="Times New Roman" w:eastAsia="仿宋" w:cs="Times New Roman"/>
          <w:sz w:val="24"/>
          <w:szCs w:val="24"/>
          <w:lang w:val="en-US" w:eastAsia="zh-CN" w:bidi="ar-SA"/>
        </w:rPr>
        <w:t>2.0</w:t>
      </w:r>
      <w:r>
        <w:rPr>
          <w:rFonts w:hint="eastAsia" w:ascii="Times New Roman" w:hAnsi="Times New Roman" w:eastAsia="仿宋" w:cs="Times New Roman"/>
          <w:sz w:val="24"/>
          <w:szCs w:val="24"/>
          <w:lang w:val="en-US" w:eastAsia="zh-CN" w:bidi="ar-SA"/>
        </w:rPr>
        <w:t>范围即可。</w:t>
      </w:r>
    </w:p>
    <w:p w14:paraId="33A7A40D">
      <w:pPr>
        <w:keepNext w:val="0"/>
        <w:keepLines w:val="0"/>
        <w:pageBreakBefore w:val="0"/>
        <w:widowControl w:val="0"/>
        <w:numPr>
          <w:ilvl w:val="0"/>
          <w:numId w:val="0"/>
        </w:numPr>
        <w:kinsoku/>
        <w:wordWrap/>
        <w:overflowPunct/>
        <w:topLinePunct w:val="0"/>
        <w:autoSpaceDE/>
        <w:autoSpaceDN/>
        <w:bidi w:val="0"/>
        <w:snapToGrid/>
        <w:spacing w:line="480" w:lineRule="exact"/>
        <w:ind w:leftChars="0"/>
        <w:textAlignment w:val="auto"/>
        <w:rPr>
          <w:rFonts w:hint="eastAsia" w:eastAsia="仿宋" w:cs="Times New Roman"/>
          <w:b/>
          <w:bCs/>
          <w:sz w:val="24"/>
          <w:szCs w:val="24"/>
          <w:lang w:val="en-US" w:eastAsia="zh-CN"/>
        </w:rPr>
      </w:pPr>
      <w:bookmarkStart w:id="72" w:name="_Toc514764256"/>
      <w:bookmarkEnd w:id="72"/>
      <w:bookmarkStart w:id="73" w:name="_Toc512268712"/>
      <w:bookmarkEnd w:id="73"/>
      <w:bookmarkStart w:id="74" w:name="_Toc511507560"/>
      <w:bookmarkStart w:id="75" w:name="_Toc511396518"/>
      <w:r>
        <w:rPr>
          <w:rFonts w:hint="eastAsia" w:eastAsia="仿宋" w:cs="Times New Roman"/>
          <w:b/>
          <w:bCs/>
          <w:sz w:val="24"/>
          <w:szCs w:val="24"/>
          <w:lang w:val="en-US" w:eastAsia="zh-CN"/>
        </w:rPr>
        <w:t>5.2.6 PCR 扩增与测序</w:t>
      </w:r>
    </w:p>
    <w:bookmarkEnd w:id="74"/>
    <w:bookmarkEnd w:id="75"/>
    <w:p w14:paraId="106B07A2">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0" w:leftChars="0" w:right="0" w:firstLine="480" w:firstLineChars="200"/>
        <w:jc w:val="both"/>
        <w:textAlignment w:val="auto"/>
        <w:rPr>
          <w:rFonts w:hint="default" w:ascii="Times New Roman" w:hAnsi="Times New Roman" w:eastAsia="仿宋" w:cs="Times New Roman"/>
          <w:sz w:val="24"/>
          <w:szCs w:val="24"/>
          <w:lang w:val="en-US" w:eastAsia="zh-CN" w:bidi="ar-SA"/>
        </w:rPr>
      </w:pPr>
      <w:bookmarkStart w:id="76" w:name="_Toc133513167"/>
      <w:r>
        <w:rPr>
          <w:rFonts w:hint="default" w:ascii="Times New Roman" w:hAnsi="Times New Roman" w:eastAsia="仿宋" w:cs="Times New Roman"/>
          <w:sz w:val="24"/>
          <w:szCs w:val="24"/>
          <w:lang w:val="en-US" w:eastAsia="zh-CN" w:bidi="ar-SA"/>
        </w:rPr>
        <w:t>引物选择</w:t>
      </w:r>
      <w:bookmarkEnd w:id="76"/>
    </w:p>
    <w:p w14:paraId="44AF8EF1">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480" w:firstLineChars="200"/>
        <w:jc w:val="both"/>
        <w:textAlignment w:val="auto"/>
        <w:rPr>
          <w:rFonts w:hint="default" w:ascii="Times New Roman" w:hAnsi="Times New Roman" w:eastAsia="仿宋" w:cs="Times New Roman"/>
          <w:sz w:val="24"/>
          <w:szCs w:val="24"/>
          <w:lang w:val="en-US" w:eastAsia="zh-CN" w:bidi="ar-SA"/>
        </w:rPr>
      </w:pPr>
      <w:r>
        <w:rPr>
          <w:rFonts w:hint="eastAsia" w:eastAsia="仿宋" w:cs="Times New Roman"/>
          <w:sz w:val="24"/>
          <w:szCs w:val="24"/>
          <w:lang w:val="en-US" w:eastAsia="zh-CN" w:bidi="ar-SA"/>
        </w:rPr>
        <w:t>1）</w:t>
      </w:r>
      <w:r>
        <w:rPr>
          <w:rFonts w:hint="eastAsia" w:ascii="Times New Roman" w:hAnsi="Times New Roman" w:eastAsia="仿宋" w:cs="Times New Roman"/>
          <w:sz w:val="24"/>
          <w:szCs w:val="24"/>
          <w:lang w:val="en-US" w:eastAsia="zh-CN" w:bidi="ar-SA"/>
        </w:rPr>
        <w:t>针对不同生物类群选择不同的一对或者多对特异性引物扩增目标条形码序列，大型底栖</w:t>
      </w:r>
      <w:r>
        <w:rPr>
          <w:rFonts w:hint="default" w:ascii="Times New Roman" w:hAnsi="Times New Roman" w:eastAsia="仿宋" w:cs="Times New Roman"/>
          <w:sz w:val="24"/>
          <w:szCs w:val="24"/>
          <w:lang w:val="en-US" w:eastAsia="zh-CN" w:bidi="ar-SA"/>
        </w:rPr>
        <w:t>通用扩增引物</w:t>
      </w:r>
      <w:r>
        <w:rPr>
          <w:rFonts w:hint="eastAsia" w:ascii="Times New Roman" w:hAnsi="Times New Roman" w:eastAsia="仿宋" w:cs="Times New Roman"/>
          <w:sz w:val="24"/>
          <w:szCs w:val="24"/>
          <w:lang w:val="en-US" w:eastAsia="zh-CN" w:bidi="ar-SA"/>
        </w:rPr>
        <w:t>选取可参照表1.</w:t>
      </w:r>
    </w:p>
    <w:p w14:paraId="41988514">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right="0" w:rightChars="0" w:firstLine="0" w:firstLineChars="0"/>
        <w:jc w:val="center"/>
        <w:textAlignment w:val="auto"/>
        <w:rPr>
          <w:rFonts w:hint="default" w:ascii="Times New Roman" w:hAnsi="Times New Roman" w:eastAsia="仿宋" w:cs="Times New Roman"/>
          <w:sz w:val="24"/>
          <w:szCs w:val="24"/>
          <w:lang w:val="en-US" w:eastAsia="zh-CN" w:bidi="ar-SA"/>
        </w:rPr>
      </w:pPr>
      <w:r>
        <w:rPr>
          <w:rFonts w:hint="default" w:ascii="Times New Roman" w:hAnsi="Times New Roman" w:eastAsia="仿宋" w:cs="Times New Roman"/>
          <w:sz w:val="24"/>
          <w:szCs w:val="24"/>
          <w:lang w:val="en-US" w:eastAsia="zh-CN" w:bidi="ar-SA"/>
        </w:rPr>
        <w:t>表1  常用DNA条形码扩增引物信息</w:t>
      </w:r>
    </w:p>
    <w:tbl>
      <w:tblPr>
        <w:tblStyle w:val="18"/>
        <w:tblW w:w="4998" w:type="pct"/>
        <w:tblInd w:w="0" w:type="dxa"/>
        <w:tblLayout w:type="autofit"/>
        <w:tblCellMar>
          <w:top w:w="30" w:type="dxa"/>
          <w:left w:w="36" w:type="dxa"/>
          <w:bottom w:w="0" w:type="dxa"/>
          <w:right w:w="41" w:type="dxa"/>
        </w:tblCellMar>
      </w:tblPr>
      <w:tblGrid>
        <w:gridCol w:w="1030"/>
        <w:gridCol w:w="1608"/>
        <w:gridCol w:w="4748"/>
        <w:gridCol w:w="994"/>
      </w:tblGrid>
      <w:tr w14:paraId="6B5E5D7A">
        <w:tblPrEx>
          <w:tblCellMar>
            <w:top w:w="30" w:type="dxa"/>
            <w:left w:w="36" w:type="dxa"/>
            <w:bottom w:w="0" w:type="dxa"/>
            <w:right w:w="41" w:type="dxa"/>
          </w:tblCellMar>
        </w:tblPrEx>
        <w:trPr>
          <w:trHeight w:val="397" w:hRule="atLeast"/>
        </w:trPr>
        <w:tc>
          <w:tcPr>
            <w:tcW w:w="615" w:type="pct"/>
            <w:tcBorders>
              <w:top w:val="single" w:color="000000" w:sz="4" w:space="0"/>
              <w:left w:val="single" w:color="000000" w:sz="4" w:space="0"/>
              <w:bottom w:val="single" w:color="000000" w:sz="4" w:space="0"/>
              <w:right w:val="single" w:color="000000" w:sz="4" w:space="0"/>
            </w:tcBorders>
            <w:noWrap w:val="0"/>
            <w:vAlign w:val="center"/>
          </w:tcPr>
          <w:p w14:paraId="0F82766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imes New Roman" w:hAnsi="Times New Roman" w:eastAsia="仿宋_GB2312" w:cs="仿宋_GB2312"/>
                <w:sz w:val="21"/>
              </w:rPr>
            </w:pPr>
            <w:r>
              <w:rPr>
                <w:rFonts w:hint="eastAsia" w:ascii="Times New Roman" w:hAnsi="Times New Roman" w:eastAsia="仿宋_GB2312" w:cs="仿宋_GB2312"/>
                <w:sz w:val="21"/>
              </w:rPr>
              <w:t>基因</w:t>
            </w:r>
          </w:p>
          <w:p w14:paraId="28928AAF">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imes New Roman" w:hAnsi="Times New Roman" w:eastAsia="仿宋_GB2312" w:cs="仿宋_GB2312"/>
              </w:rPr>
            </w:pPr>
            <w:r>
              <w:rPr>
                <w:rFonts w:hint="eastAsia" w:ascii="Times New Roman" w:hAnsi="Times New Roman" w:eastAsia="仿宋_GB2312" w:cs="仿宋_GB2312"/>
                <w:sz w:val="21"/>
              </w:rPr>
              <w:t>名称</w:t>
            </w:r>
          </w:p>
        </w:tc>
        <w:tc>
          <w:tcPr>
            <w:tcW w:w="959" w:type="pct"/>
            <w:tcBorders>
              <w:top w:val="single" w:color="000000" w:sz="4" w:space="0"/>
              <w:left w:val="single" w:color="000000" w:sz="4" w:space="0"/>
              <w:bottom w:val="single" w:color="000000" w:sz="4" w:space="0"/>
              <w:right w:val="single" w:color="000000" w:sz="4" w:space="0"/>
            </w:tcBorders>
            <w:noWrap w:val="0"/>
            <w:vAlign w:val="center"/>
          </w:tcPr>
          <w:p w14:paraId="28AEC8BB">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Times New Roman" w:hAnsi="Times New Roman" w:eastAsia="仿宋_GB2312" w:cs="仿宋_GB2312"/>
              </w:rPr>
            </w:pPr>
            <w:r>
              <w:rPr>
                <w:rFonts w:hint="eastAsia" w:ascii="Times New Roman" w:hAnsi="Times New Roman" w:eastAsia="仿宋_GB2312" w:cs="仿宋_GB2312"/>
                <w:sz w:val="21"/>
              </w:rPr>
              <w:t>引物名称</w:t>
            </w:r>
          </w:p>
        </w:tc>
        <w:tc>
          <w:tcPr>
            <w:tcW w:w="2832" w:type="pct"/>
            <w:tcBorders>
              <w:top w:val="single" w:color="000000" w:sz="4" w:space="0"/>
              <w:left w:val="single" w:color="000000" w:sz="4" w:space="0"/>
              <w:bottom w:val="single" w:color="000000" w:sz="4" w:space="0"/>
              <w:right w:val="single" w:color="000000" w:sz="4" w:space="0"/>
            </w:tcBorders>
            <w:noWrap w:val="0"/>
            <w:vAlign w:val="center"/>
          </w:tcPr>
          <w:p w14:paraId="6EA82CC1">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Times New Roman" w:hAnsi="Times New Roman" w:eastAsia="仿宋_GB2312" w:cs="仿宋_GB2312"/>
              </w:rPr>
            </w:pPr>
            <w:r>
              <w:rPr>
                <w:rFonts w:hint="eastAsia" w:ascii="Times New Roman" w:hAnsi="Times New Roman" w:eastAsia="仿宋_GB2312" w:cs="仿宋_GB2312"/>
                <w:sz w:val="21"/>
              </w:rPr>
              <w:t>引物序列（5’ - 3’）</w:t>
            </w:r>
          </w:p>
        </w:tc>
        <w:tc>
          <w:tcPr>
            <w:tcW w:w="593" w:type="pct"/>
            <w:tcBorders>
              <w:top w:val="single" w:color="000000" w:sz="4" w:space="0"/>
              <w:left w:val="single" w:color="000000" w:sz="4" w:space="0"/>
              <w:bottom w:val="single" w:color="000000" w:sz="4" w:space="0"/>
              <w:right w:val="single" w:color="000000" w:sz="4" w:space="0"/>
            </w:tcBorders>
            <w:noWrap w:val="0"/>
            <w:vAlign w:val="center"/>
          </w:tcPr>
          <w:p w14:paraId="751C4F77">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Times New Roman" w:hAnsi="Times New Roman" w:eastAsia="仿宋_GB2312" w:cs="仿宋_GB2312"/>
              </w:rPr>
            </w:pPr>
            <w:r>
              <w:rPr>
                <w:rFonts w:hint="eastAsia" w:ascii="Times New Roman" w:hAnsi="Times New Roman" w:eastAsia="仿宋_GB2312" w:cs="仿宋_GB2312"/>
                <w:sz w:val="21"/>
              </w:rPr>
              <w:t>退火温度</w:t>
            </w:r>
          </w:p>
        </w:tc>
      </w:tr>
      <w:tr w14:paraId="2193E5AA">
        <w:tblPrEx>
          <w:tblCellMar>
            <w:top w:w="30" w:type="dxa"/>
            <w:left w:w="36" w:type="dxa"/>
            <w:bottom w:w="0" w:type="dxa"/>
            <w:right w:w="41" w:type="dxa"/>
          </w:tblCellMar>
        </w:tblPrEx>
        <w:trPr>
          <w:trHeight w:val="397" w:hRule="atLeast"/>
        </w:trPr>
        <w:tc>
          <w:tcPr>
            <w:tcW w:w="615" w:type="pct"/>
            <w:vMerge w:val="restart"/>
            <w:tcBorders>
              <w:top w:val="single" w:color="000000" w:sz="4" w:space="0"/>
              <w:left w:val="single" w:color="000000" w:sz="4" w:space="0"/>
              <w:bottom w:val="single" w:color="000000" w:sz="4" w:space="0"/>
              <w:right w:val="single" w:color="000000" w:sz="4" w:space="0"/>
            </w:tcBorders>
            <w:noWrap w:val="0"/>
            <w:vAlign w:val="center"/>
          </w:tcPr>
          <w:p w14:paraId="5918B1CA">
            <w:pPr>
              <w:keepNext w:val="0"/>
              <w:keepLines w:val="0"/>
              <w:pageBreakBefore w:val="0"/>
              <w:widowControl w:val="0"/>
              <w:kinsoku/>
              <w:wordWrap/>
              <w:overflowPunct/>
              <w:topLinePunct w:val="0"/>
              <w:autoSpaceDE/>
              <w:autoSpaceDN/>
              <w:bidi w:val="0"/>
              <w:adjustRightInd/>
              <w:snapToGrid/>
              <w:spacing w:line="240" w:lineRule="auto"/>
              <w:ind w:left="0" w:firstLine="0" w:firstLineChars="0"/>
              <w:textAlignment w:val="auto"/>
              <w:rPr>
                <w:rFonts w:hint="eastAsia" w:ascii="Times New Roman" w:hAnsi="Times New Roman" w:eastAsia="仿宋_GB2312" w:cs="仿宋_GB2312"/>
              </w:rPr>
            </w:pPr>
            <w:r>
              <w:rPr>
                <w:rFonts w:hint="eastAsia" w:ascii="Times New Roman" w:hAnsi="Times New Roman" w:eastAsia="仿宋_GB2312" w:cs="仿宋_GB2312"/>
                <w:sz w:val="21"/>
              </w:rPr>
              <w:t>COI-1</w:t>
            </w:r>
          </w:p>
        </w:tc>
        <w:tc>
          <w:tcPr>
            <w:tcW w:w="959" w:type="pct"/>
            <w:tcBorders>
              <w:top w:val="single" w:color="000000" w:sz="4" w:space="0"/>
              <w:left w:val="single" w:color="000000" w:sz="4" w:space="0"/>
              <w:bottom w:val="single" w:color="000000" w:sz="4" w:space="0"/>
              <w:right w:val="single" w:color="000000" w:sz="4" w:space="0"/>
            </w:tcBorders>
            <w:noWrap w:val="0"/>
            <w:vAlign w:val="center"/>
          </w:tcPr>
          <w:p w14:paraId="0A7853F2">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Times New Roman" w:hAnsi="Times New Roman" w:eastAsia="仿宋_GB2312" w:cs="仿宋_GB2312"/>
              </w:rPr>
            </w:pPr>
            <w:r>
              <w:rPr>
                <w:rFonts w:hint="eastAsia" w:ascii="Times New Roman" w:hAnsi="Times New Roman" w:eastAsia="仿宋_GB2312" w:cs="仿宋_GB2312"/>
                <w:sz w:val="21"/>
              </w:rPr>
              <w:t>mlCOIintF</w:t>
            </w:r>
          </w:p>
        </w:tc>
        <w:tc>
          <w:tcPr>
            <w:tcW w:w="2832" w:type="pct"/>
            <w:tcBorders>
              <w:top w:val="single" w:color="000000" w:sz="4" w:space="0"/>
              <w:left w:val="single" w:color="000000" w:sz="4" w:space="0"/>
              <w:bottom w:val="single" w:color="000000" w:sz="4" w:space="0"/>
              <w:right w:val="single" w:color="000000" w:sz="4" w:space="0"/>
            </w:tcBorders>
            <w:noWrap w:val="0"/>
            <w:vAlign w:val="center"/>
          </w:tcPr>
          <w:p w14:paraId="6967EE11">
            <w:pPr>
              <w:keepNext w:val="0"/>
              <w:keepLines w:val="0"/>
              <w:pageBreakBefore w:val="0"/>
              <w:widowControl w:val="0"/>
              <w:kinsoku/>
              <w:wordWrap/>
              <w:overflowPunct/>
              <w:topLinePunct w:val="0"/>
              <w:autoSpaceDE/>
              <w:autoSpaceDN/>
              <w:bidi w:val="0"/>
              <w:adjustRightInd/>
              <w:snapToGrid/>
              <w:spacing w:line="240" w:lineRule="auto"/>
              <w:ind w:left="0" w:firstLine="0" w:firstLineChars="0"/>
              <w:textAlignment w:val="auto"/>
              <w:rPr>
                <w:rFonts w:hint="eastAsia" w:ascii="Times New Roman" w:hAnsi="Times New Roman" w:eastAsia="仿宋_GB2312" w:cs="仿宋_GB2312"/>
              </w:rPr>
            </w:pPr>
            <w:r>
              <w:rPr>
                <w:rFonts w:hint="eastAsia" w:ascii="Times New Roman" w:hAnsi="Times New Roman" w:eastAsia="仿宋_GB2312" w:cs="仿宋_GB2312"/>
                <w:sz w:val="21"/>
              </w:rPr>
              <w:t>GGWACWGGWTGAACWGTWTAYCCYCC</w:t>
            </w:r>
          </w:p>
        </w:tc>
        <w:tc>
          <w:tcPr>
            <w:tcW w:w="593" w:type="pct"/>
            <w:vMerge w:val="restart"/>
            <w:tcBorders>
              <w:top w:val="single" w:color="000000" w:sz="4" w:space="0"/>
              <w:left w:val="single" w:color="000000" w:sz="4" w:space="0"/>
              <w:bottom w:val="single" w:color="000000" w:sz="4" w:space="0"/>
              <w:right w:val="single" w:color="000000" w:sz="4" w:space="0"/>
            </w:tcBorders>
            <w:noWrap w:val="0"/>
            <w:vAlign w:val="center"/>
          </w:tcPr>
          <w:p w14:paraId="6A421017">
            <w:pPr>
              <w:keepNext w:val="0"/>
              <w:keepLines w:val="0"/>
              <w:pageBreakBefore w:val="0"/>
              <w:widowControl w:val="0"/>
              <w:kinsoku/>
              <w:wordWrap/>
              <w:overflowPunct/>
              <w:topLinePunct w:val="0"/>
              <w:autoSpaceDE/>
              <w:autoSpaceDN/>
              <w:bidi w:val="0"/>
              <w:adjustRightInd/>
              <w:snapToGrid/>
              <w:spacing w:line="240" w:lineRule="auto"/>
              <w:ind w:left="0" w:firstLine="0" w:firstLineChars="0"/>
              <w:textAlignment w:val="auto"/>
              <w:rPr>
                <w:rFonts w:hint="eastAsia" w:ascii="Times New Roman" w:hAnsi="Times New Roman" w:eastAsia="仿宋_GB2312" w:cs="仿宋_GB2312"/>
                <w:lang w:eastAsia="zh-CN"/>
              </w:rPr>
            </w:pPr>
            <w:r>
              <w:rPr>
                <w:rFonts w:hint="eastAsia" w:ascii="Times New Roman" w:hAnsi="Times New Roman" w:eastAsia="仿宋_GB2312" w:cs="仿宋_GB2312"/>
                <w:sz w:val="21"/>
              </w:rPr>
              <w:t>45-55</w:t>
            </w:r>
            <w:r>
              <w:rPr>
                <w:rFonts w:hint="eastAsia" w:eastAsia="仿宋_GB2312" w:cs="仿宋_GB2312"/>
                <w:sz w:val="21"/>
                <w:lang w:val="en-US" w:eastAsia="zh-CN"/>
              </w:rPr>
              <w:t>℃</w:t>
            </w:r>
          </w:p>
        </w:tc>
      </w:tr>
      <w:tr w14:paraId="3B191B15">
        <w:tblPrEx>
          <w:tblCellMar>
            <w:top w:w="30" w:type="dxa"/>
            <w:left w:w="36" w:type="dxa"/>
            <w:bottom w:w="0" w:type="dxa"/>
            <w:right w:w="41" w:type="dxa"/>
          </w:tblCellMar>
        </w:tblPrEx>
        <w:trPr>
          <w:trHeight w:val="397" w:hRule="atLeast"/>
        </w:trPr>
        <w:tc>
          <w:tcPr>
            <w:tcW w:w="615" w:type="pct"/>
            <w:vMerge w:val="continue"/>
            <w:tcBorders>
              <w:top w:val="nil"/>
              <w:left w:val="single" w:color="000000" w:sz="4" w:space="0"/>
              <w:bottom w:val="single" w:color="000000" w:sz="4" w:space="0"/>
              <w:right w:val="single" w:color="000000" w:sz="4" w:space="0"/>
            </w:tcBorders>
            <w:noWrap w:val="0"/>
            <w:vAlign w:val="top"/>
          </w:tcPr>
          <w:p w14:paraId="7C1B71C3">
            <w:pPr>
              <w:keepNext w:val="0"/>
              <w:keepLines w:val="0"/>
              <w:pageBreakBefore w:val="0"/>
              <w:widowControl w:val="0"/>
              <w:kinsoku/>
              <w:wordWrap/>
              <w:overflowPunct/>
              <w:topLinePunct w:val="0"/>
              <w:autoSpaceDE/>
              <w:autoSpaceDN/>
              <w:bidi w:val="0"/>
              <w:adjustRightInd/>
              <w:snapToGrid/>
              <w:spacing w:line="240" w:lineRule="auto"/>
              <w:ind w:left="0" w:firstLine="0" w:firstLineChars="0"/>
              <w:textAlignment w:val="auto"/>
              <w:rPr>
                <w:rFonts w:hint="eastAsia" w:ascii="Times New Roman" w:hAnsi="Times New Roman" w:eastAsia="仿宋_GB2312" w:cs="仿宋_GB2312"/>
              </w:rPr>
            </w:pPr>
          </w:p>
        </w:tc>
        <w:tc>
          <w:tcPr>
            <w:tcW w:w="959" w:type="pct"/>
            <w:tcBorders>
              <w:top w:val="single" w:color="000000" w:sz="4" w:space="0"/>
              <w:left w:val="single" w:color="000000" w:sz="4" w:space="0"/>
              <w:bottom w:val="single" w:color="000000" w:sz="4" w:space="0"/>
              <w:right w:val="single" w:color="000000" w:sz="4" w:space="0"/>
            </w:tcBorders>
            <w:noWrap w:val="0"/>
            <w:vAlign w:val="center"/>
          </w:tcPr>
          <w:p w14:paraId="33BEC16B">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Times New Roman" w:hAnsi="Times New Roman" w:eastAsia="仿宋_GB2312" w:cs="仿宋_GB2312"/>
              </w:rPr>
            </w:pPr>
            <w:r>
              <w:rPr>
                <w:rFonts w:hint="eastAsia" w:ascii="Times New Roman" w:hAnsi="Times New Roman" w:eastAsia="仿宋_GB2312" w:cs="仿宋_GB2312"/>
                <w:sz w:val="21"/>
              </w:rPr>
              <w:t>dgHCO2198</w:t>
            </w:r>
          </w:p>
        </w:tc>
        <w:tc>
          <w:tcPr>
            <w:tcW w:w="2832" w:type="pct"/>
            <w:tcBorders>
              <w:top w:val="single" w:color="000000" w:sz="4" w:space="0"/>
              <w:left w:val="single" w:color="000000" w:sz="4" w:space="0"/>
              <w:bottom w:val="single" w:color="000000" w:sz="4" w:space="0"/>
              <w:right w:val="single" w:color="000000" w:sz="4" w:space="0"/>
            </w:tcBorders>
            <w:noWrap w:val="0"/>
            <w:vAlign w:val="center"/>
          </w:tcPr>
          <w:p w14:paraId="4956B320">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Times New Roman" w:hAnsi="Times New Roman" w:eastAsia="仿宋_GB2312" w:cs="仿宋_GB2312"/>
              </w:rPr>
            </w:pPr>
            <w:r>
              <w:rPr>
                <w:rFonts w:hint="eastAsia" w:ascii="Times New Roman" w:hAnsi="Times New Roman" w:eastAsia="仿宋_GB2312" w:cs="仿宋_GB2312"/>
                <w:sz w:val="21"/>
              </w:rPr>
              <w:t>TAAACTTCAGGGTGACCAAAAAATCA</w:t>
            </w:r>
          </w:p>
        </w:tc>
        <w:tc>
          <w:tcPr>
            <w:tcW w:w="593" w:type="pct"/>
            <w:vMerge w:val="continue"/>
            <w:tcBorders>
              <w:top w:val="nil"/>
              <w:left w:val="single" w:color="000000" w:sz="4" w:space="0"/>
              <w:bottom w:val="single" w:color="000000" w:sz="4" w:space="0"/>
              <w:right w:val="single" w:color="000000" w:sz="4" w:space="0"/>
            </w:tcBorders>
            <w:noWrap w:val="0"/>
            <w:vAlign w:val="top"/>
          </w:tcPr>
          <w:p w14:paraId="3B435A01">
            <w:pPr>
              <w:keepNext w:val="0"/>
              <w:keepLines w:val="0"/>
              <w:pageBreakBefore w:val="0"/>
              <w:widowControl w:val="0"/>
              <w:kinsoku/>
              <w:wordWrap/>
              <w:overflowPunct/>
              <w:topLinePunct w:val="0"/>
              <w:autoSpaceDE/>
              <w:autoSpaceDN/>
              <w:bidi w:val="0"/>
              <w:adjustRightInd/>
              <w:snapToGrid/>
              <w:spacing w:line="240" w:lineRule="auto"/>
              <w:ind w:left="0" w:firstLine="0" w:firstLineChars="0"/>
              <w:textAlignment w:val="auto"/>
              <w:rPr>
                <w:rFonts w:hint="eastAsia" w:ascii="Times New Roman" w:hAnsi="Times New Roman" w:eastAsia="仿宋_GB2312" w:cs="仿宋_GB2312"/>
              </w:rPr>
            </w:pPr>
          </w:p>
        </w:tc>
      </w:tr>
      <w:tr w14:paraId="1B3ECF7C">
        <w:tblPrEx>
          <w:tblCellMar>
            <w:top w:w="30" w:type="dxa"/>
            <w:left w:w="36" w:type="dxa"/>
            <w:bottom w:w="0" w:type="dxa"/>
            <w:right w:w="41" w:type="dxa"/>
          </w:tblCellMar>
        </w:tblPrEx>
        <w:trPr>
          <w:trHeight w:val="397" w:hRule="atLeast"/>
        </w:trPr>
        <w:tc>
          <w:tcPr>
            <w:tcW w:w="615" w:type="pct"/>
            <w:vMerge w:val="restart"/>
            <w:tcBorders>
              <w:top w:val="single" w:color="000000" w:sz="4" w:space="0"/>
              <w:left w:val="single" w:color="000000" w:sz="4" w:space="0"/>
              <w:bottom w:val="single" w:color="000000" w:sz="4" w:space="0"/>
              <w:right w:val="single" w:color="000000" w:sz="4" w:space="0"/>
            </w:tcBorders>
            <w:noWrap w:val="0"/>
            <w:vAlign w:val="center"/>
          </w:tcPr>
          <w:p w14:paraId="5785EA45">
            <w:pPr>
              <w:keepNext w:val="0"/>
              <w:keepLines w:val="0"/>
              <w:pageBreakBefore w:val="0"/>
              <w:widowControl w:val="0"/>
              <w:kinsoku/>
              <w:wordWrap/>
              <w:overflowPunct/>
              <w:topLinePunct w:val="0"/>
              <w:autoSpaceDE/>
              <w:autoSpaceDN/>
              <w:bidi w:val="0"/>
              <w:adjustRightInd/>
              <w:snapToGrid/>
              <w:spacing w:line="240" w:lineRule="auto"/>
              <w:ind w:left="0" w:firstLine="0" w:firstLineChars="0"/>
              <w:textAlignment w:val="auto"/>
              <w:rPr>
                <w:rFonts w:hint="eastAsia" w:ascii="Times New Roman" w:hAnsi="Times New Roman" w:eastAsia="仿宋_GB2312" w:cs="仿宋_GB2312"/>
              </w:rPr>
            </w:pPr>
            <w:r>
              <w:rPr>
                <w:rFonts w:hint="eastAsia" w:ascii="Times New Roman" w:hAnsi="Times New Roman" w:eastAsia="仿宋_GB2312" w:cs="仿宋_GB2312"/>
                <w:sz w:val="21"/>
              </w:rPr>
              <w:t>COI-2</w:t>
            </w:r>
          </w:p>
        </w:tc>
        <w:tc>
          <w:tcPr>
            <w:tcW w:w="959" w:type="pct"/>
            <w:tcBorders>
              <w:top w:val="single" w:color="000000" w:sz="4" w:space="0"/>
              <w:left w:val="single" w:color="000000" w:sz="4" w:space="0"/>
              <w:bottom w:val="single" w:color="auto" w:sz="4" w:space="0"/>
              <w:right w:val="single" w:color="000000" w:sz="4" w:space="0"/>
            </w:tcBorders>
            <w:noWrap w:val="0"/>
            <w:vAlign w:val="center"/>
          </w:tcPr>
          <w:p w14:paraId="5B3D2D67">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Times New Roman" w:hAnsi="Times New Roman" w:eastAsia="仿宋_GB2312" w:cs="仿宋_GB2312"/>
              </w:rPr>
            </w:pPr>
            <w:r>
              <w:rPr>
                <w:rFonts w:hint="eastAsia" w:ascii="Times New Roman" w:hAnsi="Times New Roman" w:eastAsia="仿宋_GB2312" w:cs="仿宋_GB2312"/>
                <w:sz w:val="21"/>
              </w:rPr>
              <w:t>mlCOIintF</w:t>
            </w:r>
          </w:p>
        </w:tc>
        <w:tc>
          <w:tcPr>
            <w:tcW w:w="2832" w:type="pct"/>
            <w:tcBorders>
              <w:top w:val="single" w:color="000000" w:sz="4" w:space="0"/>
              <w:left w:val="single" w:color="000000" w:sz="4" w:space="0"/>
              <w:bottom w:val="single" w:color="auto" w:sz="4" w:space="0"/>
              <w:right w:val="single" w:color="000000" w:sz="4" w:space="0"/>
            </w:tcBorders>
            <w:noWrap w:val="0"/>
            <w:vAlign w:val="center"/>
          </w:tcPr>
          <w:p w14:paraId="1D5399A1">
            <w:pPr>
              <w:keepNext w:val="0"/>
              <w:keepLines w:val="0"/>
              <w:pageBreakBefore w:val="0"/>
              <w:widowControl w:val="0"/>
              <w:kinsoku/>
              <w:wordWrap/>
              <w:overflowPunct/>
              <w:topLinePunct w:val="0"/>
              <w:autoSpaceDE/>
              <w:autoSpaceDN/>
              <w:bidi w:val="0"/>
              <w:adjustRightInd/>
              <w:snapToGrid/>
              <w:spacing w:line="240" w:lineRule="auto"/>
              <w:ind w:left="0" w:firstLine="0" w:firstLineChars="0"/>
              <w:textAlignment w:val="auto"/>
              <w:rPr>
                <w:rFonts w:hint="eastAsia" w:ascii="Times New Roman" w:hAnsi="Times New Roman" w:eastAsia="仿宋_GB2312" w:cs="仿宋_GB2312"/>
              </w:rPr>
            </w:pPr>
            <w:r>
              <w:rPr>
                <w:rFonts w:hint="eastAsia" w:ascii="Times New Roman" w:hAnsi="Times New Roman" w:eastAsia="仿宋_GB2312" w:cs="仿宋_GB2312"/>
                <w:sz w:val="21"/>
              </w:rPr>
              <w:t>GGWACWGGWTGAACWGTWTAYCCYCC</w:t>
            </w:r>
          </w:p>
        </w:tc>
        <w:tc>
          <w:tcPr>
            <w:tcW w:w="593" w:type="pct"/>
            <w:vMerge w:val="restart"/>
            <w:tcBorders>
              <w:top w:val="single" w:color="000000" w:sz="4" w:space="0"/>
              <w:left w:val="single" w:color="000000" w:sz="4" w:space="0"/>
              <w:bottom w:val="single" w:color="000000" w:sz="4" w:space="0"/>
              <w:right w:val="single" w:color="000000" w:sz="4" w:space="0"/>
            </w:tcBorders>
            <w:noWrap w:val="0"/>
            <w:vAlign w:val="center"/>
          </w:tcPr>
          <w:p w14:paraId="521586C8">
            <w:pPr>
              <w:keepNext w:val="0"/>
              <w:keepLines w:val="0"/>
              <w:pageBreakBefore w:val="0"/>
              <w:widowControl w:val="0"/>
              <w:kinsoku/>
              <w:wordWrap/>
              <w:overflowPunct/>
              <w:topLinePunct w:val="0"/>
              <w:autoSpaceDE/>
              <w:autoSpaceDN/>
              <w:bidi w:val="0"/>
              <w:adjustRightInd/>
              <w:snapToGrid/>
              <w:spacing w:line="240" w:lineRule="auto"/>
              <w:ind w:left="0" w:firstLine="0" w:firstLineChars="0"/>
              <w:textAlignment w:val="auto"/>
              <w:rPr>
                <w:rFonts w:hint="eastAsia" w:ascii="Times New Roman" w:hAnsi="Times New Roman" w:eastAsia="仿宋_GB2312" w:cs="仿宋_GB2312"/>
              </w:rPr>
            </w:pPr>
            <w:r>
              <w:rPr>
                <w:rFonts w:hint="eastAsia" w:ascii="Times New Roman" w:hAnsi="Times New Roman" w:eastAsia="仿宋_GB2312" w:cs="仿宋_GB2312"/>
                <w:sz w:val="21"/>
              </w:rPr>
              <w:t>45-55</w:t>
            </w:r>
            <w:r>
              <w:rPr>
                <w:rFonts w:hint="eastAsia" w:eastAsia="仿宋_GB2312" w:cs="仿宋_GB2312"/>
                <w:sz w:val="21"/>
                <w:lang w:val="en-US" w:eastAsia="zh-CN"/>
              </w:rPr>
              <w:t>℃</w:t>
            </w:r>
          </w:p>
        </w:tc>
      </w:tr>
      <w:tr w14:paraId="551972FA">
        <w:tblPrEx>
          <w:tblCellMar>
            <w:top w:w="30" w:type="dxa"/>
            <w:left w:w="36" w:type="dxa"/>
            <w:bottom w:w="0" w:type="dxa"/>
            <w:right w:w="41" w:type="dxa"/>
          </w:tblCellMar>
        </w:tblPrEx>
        <w:trPr>
          <w:trHeight w:val="397" w:hRule="atLeast"/>
        </w:trPr>
        <w:tc>
          <w:tcPr>
            <w:tcW w:w="615" w:type="pct"/>
            <w:vMerge w:val="continue"/>
            <w:tcBorders>
              <w:top w:val="nil"/>
              <w:left w:val="single" w:color="000000" w:sz="4" w:space="0"/>
              <w:bottom w:val="single" w:color="000000" w:sz="4" w:space="0"/>
              <w:right w:val="single" w:color="auto" w:sz="4" w:space="0"/>
            </w:tcBorders>
            <w:noWrap w:val="0"/>
            <w:vAlign w:val="top"/>
          </w:tcPr>
          <w:p w14:paraId="5540E3AA">
            <w:pPr>
              <w:keepNext w:val="0"/>
              <w:keepLines w:val="0"/>
              <w:pageBreakBefore w:val="0"/>
              <w:widowControl w:val="0"/>
              <w:kinsoku/>
              <w:wordWrap/>
              <w:overflowPunct/>
              <w:topLinePunct w:val="0"/>
              <w:autoSpaceDE/>
              <w:autoSpaceDN/>
              <w:bidi w:val="0"/>
              <w:adjustRightInd/>
              <w:snapToGrid/>
              <w:spacing w:line="240" w:lineRule="auto"/>
              <w:ind w:left="0" w:firstLine="0" w:firstLineChars="0"/>
              <w:textAlignment w:val="auto"/>
              <w:rPr>
                <w:rFonts w:hint="eastAsia" w:ascii="Times New Roman" w:hAnsi="Times New Roman" w:eastAsia="仿宋_GB2312" w:cs="仿宋_GB2312"/>
              </w:rPr>
            </w:pPr>
          </w:p>
        </w:tc>
        <w:tc>
          <w:tcPr>
            <w:tcW w:w="959" w:type="pct"/>
            <w:tcBorders>
              <w:top w:val="single" w:color="auto" w:sz="4" w:space="0"/>
              <w:left w:val="single" w:color="auto" w:sz="4" w:space="0"/>
              <w:bottom w:val="single" w:color="auto" w:sz="4" w:space="0"/>
              <w:right w:val="single" w:color="000000" w:sz="4" w:space="0"/>
            </w:tcBorders>
            <w:noWrap w:val="0"/>
            <w:vAlign w:val="center"/>
          </w:tcPr>
          <w:p w14:paraId="61262D4D">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Times New Roman" w:hAnsi="Times New Roman" w:eastAsia="仿宋_GB2312" w:cs="仿宋_GB2312"/>
              </w:rPr>
            </w:pPr>
            <w:r>
              <w:rPr>
                <w:rFonts w:hint="eastAsia" w:ascii="Times New Roman" w:hAnsi="Times New Roman" w:eastAsia="仿宋_GB2312" w:cs="仿宋_GB2312"/>
                <w:sz w:val="21"/>
              </w:rPr>
              <w:t>jgHCO2198</w:t>
            </w:r>
          </w:p>
        </w:tc>
        <w:tc>
          <w:tcPr>
            <w:tcW w:w="2832" w:type="pct"/>
            <w:tcBorders>
              <w:top w:val="single" w:color="auto" w:sz="4" w:space="0"/>
              <w:left w:val="single" w:color="000000" w:sz="4" w:space="0"/>
              <w:bottom w:val="single" w:color="auto" w:sz="4" w:space="0"/>
              <w:right w:val="single" w:color="auto" w:sz="4" w:space="0"/>
            </w:tcBorders>
            <w:noWrap w:val="0"/>
            <w:vAlign w:val="center"/>
          </w:tcPr>
          <w:p w14:paraId="4D20725D">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Times New Roman" w:hAnsi="Times New Roman" w:eastAsia="仿宋_GB2312" w:cs="仿宋_GB2312"/>
              </w:rPr>
            </w:pPr>
            <w:r>
              <w:rPr>
                <w:rFonts w:hint="eastAsia" w:ascii="Times New Roman" w:hAnsi="Times New Roman" w:eastAsia="仿宋_GB2312" w:cs="仿宋_GB2312"/>
                <w:sz w:val="21"/>
              </w:rPr>
              <w:t>TAIACYTCIGGRTGICCRAARAAYCA</w:t>
            </w:r>
          </w:p>
        </w:tc>
        <w:tc>
          <w:tcPr>
            <w:tcW w:w="593" w:type="pct"/>
            <w:vMerge w:val="continue"/>
            <w:tcBorders>
              <w:top w:val="nil"/>
              <w:left w:val="single" w:color="auto" w:sz="4" w:space="0"/>
              <w:bottom w:val="single" w:color="000000" w:sz="4" w:space="0"/>
              <w:right w:val="single" w:color="000000" w:sz="4" w:space="0"/>
            </w:tcBorders>
            <w:noWrap w:val="0"/>
            <w:vAlign w:val="top"/>
          </w:tcPr>
          <w:p w14:paraId="5BA86FD3">
            <w:pPr>
              <w:keepNext w:val="0"/>
              <w:keepLines w:val="0"/>
              <w:pageBreakBefore w:val="0"/>
              <w:widowControl w:val="0"/>
              <w:kinsoku/>
              <w:wordWrap/>
              <w:overflowPunct/>
              <w:topLinePunct w:val="0"/>
              <w:autoSpaceDE/>
              <w:autoSpaceDN/>
              <w:bidi w:val="0"/>
              <w:adjustRightInd/>
              <w:snapToGrid/>
              <w:spacing w:line="240" w:lineRule="auto"/>
              <w:ind w:left="0" w:firstLine="0" w:firstLineChars="0"/>
              <w:textAlignment w:val="auto"/>
              <w:rPr>
                <w:rFonts w:hint="eastAsia" w:ascii="Times New Roman" w:hAnsi="Times New Roman" w:eastAsia="仿宋_GB2312" w:cs="仿宋_GB2312"/>
              </w:rPr>
            </w:pPr>
          </w:p>
        </w:tc>
      </w:tr>
    </w:tbl>
    <w:p w14:paraId="59C1CC29">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480" w:firstLineChars="200"/>
        <w:jc w:val="both"/>
        <w:textAlignment w:val="auto"/>
        <w:rPr>
          <w:rFonts w:hint="default" w:ascii="Times New Roman" w:hAnsi="Times New Roman" w:eastAsia="仿宋" w:cs="Times New Roman"/>
          <w:sz w:val="24"/>
          <w:szCs w:val="24"/>
          <w:lang w:val="en-US" w:eastAsia="zh-CN" w:bidi="ar-SA"/>
        </w:rPr>
      </w:pPr>
      <w:r>
        <w:rPr>
          <w:rFonts w:hint="eastAsia" w:eastAsia="仿宋" w:cs="Times New Roman"/>
          <w:sz w:val="24"/>
          <w:szCs w:val="24"/>
          <w:lang w:val="en-US" w:eastAsia="zh-CN" w:bidi="ar-SA"/>
        </w:rPr>
        <w:t>2）</w:t>
      </w:r>
      <w:r>
        <w:rPr>
          <w:rFonts w:hint="default" w:ascii="Times New Roman" w:hAnsi="Times New Roman" w:eastAsia="仿宋" w:cs="Times New Roman"/>
          <w:sz w:val="24"/>
          <w:szCs w:val="24"/>
          <w:lang w:val="en-US" w:eastAsia="zh-CN" w:bidi="ar-SA"/>
        </w:rPr>
        <w:t>宏条形码产物用1~2%的琼脂糖凝胶电泳检测，应呈现单一清晰明亮、无拖尾的条带。若样品出现多个条带，需纯化PCR产物，纯化过程参考SY/T 4278。PCR通过1%</w:t>
      </w:r>
      <w:r>
        <w:rPr>
          <w:rFonts w:hint="eastAsia" w:eastAsia="仿宋" w:cs="Times New Roman"/>
          <w:sz w:val="24"/>
          <w:szCs w:val="24"/>
          <w:lang w:val="en-US" w:eastAsia="zh-CN" w:bidi="ar-SA"/>
        </w:rPr>
        <w:t>~</w:t>
      </w:r>
      <w:r>
        <w:rPr>
          <w:rFonts w:hint="default" w:ascii="Times New Roman" w:hAnsi="Times New Roman" w:eastAsia="仿宋" w:cs="Times New Roman"/>
          <w:sz w:val="24"/>
          <w:szCs w:val="24"/>
          <w:lang w:val="en-US" w:eastAsia="zh-CN" w:bidi="ar-SA"/>
        </w:rPr>
        <w:t>2%琼脂糖凝胶电泳检测，判断PCR反应是否存在非特异性扩增，及扩增过程中产生的引物二聚体信息。电泳后，PCR产物应在相应的DNA条形码序列长度位置出现一条单一的目的条带，阴性对照无条带。</w:t>
      </w:r>
    </w:p>
    <w:p w14:paraId="6FADDCE8">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480" w:firstLineChars="200"/>
        <w:jc w:val="both"/>
        <w:textAlignment w:val="auto"/>
        <w:rPr>
          <w:rFonts w:hint="default" w:ascii="Times New Roman" w:hAnsi="Times New Roman" w:eastAsia="仿宋" w:cs="Times New Roman"/>
          <w:sz w:val="24"/>
          <w:szCs w:val="24"/>
          <w:lang w:val="en-US" w:eastAsia="zh-CN" w:bidi="ar-SA"/>
        </w:rPr>
      </w:pPr>
      <w:r>
        <w:rPr>
          <w:rFonts w:hint="eastAsia" w:eastAsia="仿宋" w:cs="Times New Roman"/>
          <w:sz w:val="24"/>
          <w:szCs w:val="24"/>
          <w:lang w:val="en-US" w:eastAsia="zh-CN" w:bidi="ar-SA"/>
        </w:rPr>
        <w:t>3）</w:t>
      </w:r>
      <w:r>
        <w:rPr>
          <w:rFonts w:hint="default" w:ascii="Times New Roman" w:hAnsi="Times New Roman" w:eastAsia="仿宋" w:cs="Times New Roman"/>
          <w:sz w:val="24"/>
          <w:szCs w:val="24"/>
          <w:lang w:val="en-US" w:eastAsia="zh-CN" w:bidi="ar-SA"/>
        </w:rPr>
        <w:t>条形码扩增产物在-20℃以下温度条件下保存，保存时间不超过一年。</w:t>
      </w:r>
    </w:p>
    <w:p w14:paraId="6DD9B457">
      <w:pPr>
        <w:keepNext w:val="0"/>
        <w:keepLines w:val="0"/>
        <w:pageBreakBefore w:val="0"/>
        <w:kinsoku/>
        <w:wordWrap/>
        <w:overflowPunct/>
        <w:topLinePunct w:val="0"/>
        <w:autoSpaceDE/>
        <w:autoSpaceDN/>
        <w:bidi w:val="0"/>
        <w:snapToGrid/>
        <w:spacing w:line="480" w:lineRule="exact"/>
        <w:ind w:firstLine="480" w:firstLineChars="200"/>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【条文说明】</w:t>
      </w:r>
      <w:r>
        <w:rPr>
          <w:rFonts w:hint="default" w:ascii="Times New Roman" w:hAnsi="Times New Roman" w:eastAsia="仿宋" w:cs="Times New Roman"/>
          <w:sz w:val="24"/>
          <w:szCs w:val="24"/>
          <w:lang w:val="en-US" w:eastAsia="zh-CN"/>
        </w:rPr>
        <w:t>选择底栖动物通用扩增引物对eDNA进扩增。用于大型无脊椎底栖动物鉴定的DNA条形码大多为线粒体COI区域，但是不同研究选用的COI片段和引物序列略有差异。最为常用的长DNA条形码码片段为LCO1490/</w:t>
      </w:r>
      <w:r>
        <w:rPr>
          <w:rFonts w:hint="eastAsia" w:eastAsia="仿宋" w:cs="Times New Roman"/>
          <w:sz w:val="24"/>
          <w:szCs w:val="24"/>
          <w:lang w:val="en-US" w:eastAsia="zh-CN"/>
        </w:rPr>
        <w:t xml:space="preserve"> </w:t>
      </w:r>
      <w:r>
        <w:rPr>
          <w:rFonts w:hint="default" w:ascii="Times New Roman" w:hAnsi="Times New Roman" w:eastAsia="仿宋" w:cs="Times New Roman"/>
          <w:sz w:val="24"/>
          <w:szCs w:val="24"/>
          <w:lang w:val="en-US" w:eastAsia="zh-CN"/>
        </w:rPr>
        <w:t>HCO2198，短的DNA条形码为mlCOIintF/jgHCO2198。行业标准《国境口岸医学媒介昆虫DNA条形码鉴定操作规程》（SN/T 4278）中规定条形码片段检测主要包括制胶，点样和电泳检测等过程。若样品出现多个条带，需纯化PCR产物，也可参考SN/T 4278中7.5，即选用胶孔大的梳子，重新制胶、点样、电泳，将所需的目的条带进行切胶回收纯化，需要时也可委托测序公司进行纯化。条形码扩增产物在-20℃以下温度条件下保存，保存时间不超过一年。</w:t>
      </w:r>
    </w:p>
    <w:p w14:paraId="5A8CC4A6">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0" w:leftChars="0" w:right="0" w:firstLine="480" w:firstLineChars="200"/>
        <w:jc w:val="both"/>
        <w:textAlignment w:val="auto"/>
        <w:rPr>
          <w:rFonts w:hint="default" w:ascii="Times New Roman" w:hAnsi="Times New Roman" w:eastAsia="仿宋" w:cs="Times New Roman"/>
          <w:sz w:val="24"/>
          <w:szCs w:val="24"/>
          <w:lang w:val="en-US" w:eastAsia="zh-CN" w:bidi="ar-SA"/>
        </w:rPr>
      </w:pPr>
      <w:bookmarkStart w:id="77" w:name="_Toc133513168"/>
      <w:r>
        <w:rPr>
          <w:rFonts w:hint="default" w:ascii="Times New Roman" w:hAnsi="Times New Roman" w:eastAsia="仿宋" w:cs="Times New Roman"/>
          <w:sz w:val="24"/>
          <w:szCs w:val="24"/>
          <w:lang w:val="en-US" w:eastAsia="zh-CN" w:bidi="ar-SA"/>
        </w:rPr>
        <w:t>高通量测序</w:t>
      </w:r>
      <w:bookmarkEnd w:id="77"/>
    </w:p>
    <w:p w14:paraId="60D30060">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480" w:firstLineChars="200"/>
        <w:jc w:val="both"/>
        <w:textAlignment w:val="auto"/>
        <w:rPr>
          <w:rFonts w:hint="default" w:ascii="Times New Roman" w:hAnsi="Times New Roman" w:eastAsia="仿宋" w:cs="Times New Roman"/>
          <w:sz w:val="24"/>
          <w:szCs w:val="24"/>
          <w:lang w:val="en-US" w:eastAsia="zh-CN" w:bidi="ar-SA"/>
        </w:rPr>
      </w:pPr>
      <w:r>
        <w:rPr>
          <w:rFonts w:hint="eastAsia" w:eastAsia="仿宋" w:cs="Times New Roman"/>
          <w:sz w:val="24"/>
          <w:szCs w:val="24"/>
          <w:lang w:val="en-US" w:eastAsia="zh-CN" w:bidi="ar-SA"/>
        </w:rPr>
        <w:t>1）</w:t>
      </w:r>
      <w:r>
        <w:rPr>
          <w:rFonts w:hint="eastAsia" w:ascii="Times New Roman" w:hAnsi="Times New Roman" w:eastAsia="仿宋" w:cs="Times New Roman"/>
          <w:sz w:val="24"/>
          <w:szCs w:val="24"/>
          <w:lang w:val="en-US" w:eastAsia="zh-CN" w:bidi="ar-SA"/>
        </w:rPr>
        <w:t>参照</w:t>
      </w:r>
      <w:r>
        <w:rPr>
          <w:rFonts w:hint="default" w:ascii="Times New Roman" w:hAnsi="Times New Roman" w:eastAsia="仿宋" w:cs="Times New Roman"/>
          <w:sz w:val="24"/>
          <w:szCs w:val="24"/>
          <w:lang w:val="en-US" w:eastAsia="zh-CN" w:bidi="ar-SA"/>
        </w:rPr>
        <w:t>GB/T 30989和GB/T 35537</w:t>
      </w:r>
      <w:r>
        <w:rPr>
          <w:rFonts w:hint="eastAsia" w:ascii="Times New Roman" w:hAnsi="Times New Roman" w:eastAsia="仿宋" w:cs="Times New Roman"/>
          <w:sz w:val="24"/>
          <w:szCs w:val="24"/>
          <w:lang w:val="en-US" w:eastAsia="zh-CN" w:bidi="ar-SA"/>
        </w:rPr>
        <w:t>相关规定</w:t>
      </w:r>
      <w:r>
        <w:rPr>
          <w:rFonts w:hint="default" w:ascii="Times New Roman" w:hAnsi="Times New Roman" w:eastAsia="仿宋" w:cs="Times New Roman"/>
          <w:sz w:val="24"/>
          <w:szCs w:val="24"/>
          <w:lang w:val="en-US" w:eastAsia="zh-CN" w:bidi="ar-SA"/>
        </w:rPr>
        <w:t>对宏条形码扩增产物进行测序。</w:t>
      </w:r>
    </w:p>
    <w:p w14:paraId="37B01851">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480" w:firstLineChars="200"/>
        <w:jc w:val="both"/>
        <w:textAlignment w:val="auto"/>
        <w:rPr>
          <w:rFonts w:hint="default" w:ascii="Times New Roman" w:hAnsi="Times New Roman" w:eastAsia="仿宋" w:cs="Times New Roman"/>
          <w:sz w:val="24"/>
          <w:szCs w:val="24"/>
          <w:lang w:val="en-US" w:eastAsia="zh-CN" w:bidi="ar-SA"/>
        </w:rPr>
      </w:pPr>
      <w:r>
        <w:rPr>
          <w:rFonts w:hint="eastAsia" w:eastAsia="仿宋" w:cs="Times New Roman"/>
          <w:sz w:val="24"/>
          <w:szCs w:val="24"/>
          <w:lang w:val="en-US" w:eastAsia="zh-CN" w:bidi="ar-SA"/>
        </w:rPr>
        <w:t>2）</w:t>
      </w:r>
      <w:r>
        <w:rPr>
          <w:rFonts w:hint="eastAsia" w:ascii="Times New Roman" w:hAnsi="Times New Roman" w:eastAsia="仿宋" w:cs="Times New Roman"/>
          <w:sz w:val="24"/>
          <w:szCs w:val="24"/>
          <w:lang w:val="en-US" w:eastAsia="zh-CN" w:bidi="ar-SA"/>
        </w:rPr>
        <w:t>建议</w:t>
      </w:r>
      <w:r>
        <w:rPr>
          <w:rFonts w:hint="default" w:ascii="Times New Roman" w:hAnsi="Times New Roman" w:eastAsia="仿宋" w:cs="Times New Roman"/>
          <w:sz w:val="24"/>
          <w:szCs w:val="24"/>
          <w:lang w:val="en-US" w:eastAsia="zh-CN" w:bidi="ar-SA"/>
        </w:rPr>
        <w:t>每个样本的预期有效序列数不低于10000条。</w:t>
      </w:r>
    </w:p>
    <w:p w14:paraId="7C447D66">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480" w:firstLineChars="200"/>
        <w:jc w:val="both"/>
        <w:textAlignment w:val="auto"/>
        <w:rPr>
          <w:rFonts w:hint="default" w:ascii="Times New Roman" w:hAnsi="Times New Roman" w:eastAsia="仿宋" w:cs="Times New Roman"/>
          <w:sz w:val="24"/>
          <w:szCs w:val="24"/>
          <w:lang w:val="en-US" w:eastAsia="zh-CN" w:bidi="ar-SA"/>
        </w:rPr>
      </w:pPr>
      <w:r>
        <w:rPr>
          <w:rFonts w:hint="eastAsia" w:ascii="Times New Roman" w:hAnsi="Times New Roman" w:eastAsia="仿宋" w:cs="Times New Roman"/>
          <w:sz w:val="24"/>
          <w:szCs w:val="24"/>
          <w:lang w:val="en-US" w:eastAsia="zh-CN" w:bidi="ar-SA"/>
        </w:rPr>
        <w:t>【条文说明】测序深度会直接影响每个样本中获得的分子分类单元数和物种数目。增加测序深度将有助于识别更多的稀有物种，尤其对于生物多样性较为丰富的样本，但是也增加了经济成本。通过查阅相关文献，本标准规定</w:t>
      </w:r>
      <w:r>
        <w:rPr>
          <w:rFonts w:hint="default" w:ascii="Times New Roman" w:hAnsi="Times New Roman" w:eastAsia="仿宋" w:cs="Times New Roman"/>
          <w:sz w:val="24"/>
          <w:szCs w:val="24"/>
          <w:lang w:val="en-US" w:eastAsia="zh-CN" w:bidi="ar-SA"/>
        </w:rPr>
        <w:t>每个样本的预期有效序列数不低于10000条</w:t>
      </w:r>
      <w:r>
        <w:rPr>
          <w:rFonts w:hint="eastAsia" w:ascii="Times New Roman" w:hAnsi="Times New Roman" w:eastAsia="仿宋" w:cs="Times New Roman"/>
          <w:sz w:val="24"/>
          <w:szCs w:val="24"/>
          <w:lang w:val="en-US" w:eastAsia="zh-CN" w:bidi="ar-SA"/>
        </w:rPr>
        <w:t>（即生物信息学中所述“10000×”）。</w:t>
      </w:r>
    </w:p>
    <w:p w14:paraId="122265CA">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0" w:leftChars="0" w:right="0" w:firstLine="480" w:firstLineChars="200"/>
        <w:jc w:val="both"/>
        <w:textAlignment w:val="auto"/>
        <w:rPr>
          <w:rFonts w:hint="default" w:ascii="Times New Roman" w:hAnsi="Times New Roman" w:eastAsia="仿宋" w:cs="Times New Roman"/>
          <w:sz w:val="24"/>
          <w:szCs w:val="24"/>
          <w:lang w:val="en-US" w:eastAsia="zh-CN" w:bidi="ar-SA"/>
        </w:rPr>
      </w:pPr>
      <w:r>
        <w:rPr>
          <w:rFonts w:hint="eastAsia" w:ascii="Times New Roman" w:hAnsi="Times New Roman" w:eastAsia="仿宋" w:cs="Times New Roman"/>
          <w:sz w:val="24"/>
          <w:szCs w:val="24"/>
          <w:lang w:val="en-US" w:eastAsia="zh-CN" w:bidi="ar-SA"/>
        </w:rPr>
        <w:t>生物信息学分析</w:t>
      </w:r>
    </w:p>
    <w:p w14:paraId="78F573C2">
      <w:pPr>
        <w:keepNext w:val="0"/>
        <w:keepLines w:val="0"/>
        <w:pageBreakBefore w:val="0"/>
        <w:widowControl w:val="0"/>
        <w:numPr>
          <w:ilvl w:val="0"/>
          <w:numId w:val="6"/>
        </w:numPr>
        <w:kinsoku/>
        <w:wordWrap/>
        <w:overflowPunct/>
        <w:topLinePunct w:val="0"/>
        <w:autoSpaceDE/>
        <w:autoSpaceDN/>
        <w:bidi w:val="0"/>
        <w:adjustRightInd/>
        <w:snapToGrid/>
        <w:spacing w:line="480" w:lineRule="exact"/>
        <w:ind w:right="0" w:rightChars="0" w:firstLine="480" w:firstLineChars="200"/>
        <w:jc w:val="both"/>
        <w:textAlignment w:val="auto"/>
        <w:rPr>
          <w:rFonts w:hint="eastAsia" w:eastAsia="仿宋" w:cs="Times New Roman"/>
          <w:sz w:val="24"/>
          <w:szCs w:val="24"/>
          <w:lang w:val="en-US" w:eastAsia="zh-CN" w:bidi="ar-SA"/>
        </w:rPr>
      </w:pPr>
      <w:r>
        <w:rPr>
          <w:rFonts w:hint="eastAsia" w:eastAsia="仿宋" w:cs="Times New Roman"/>
          <w:sz w:val="24"/>
          <w:szCs w:val="24"/>
          <w:lang w:val="en-US" w:eastAsia="zh-CN" w:bidi="ar-SA"/>
        </w:rPr>
        <w:t>同一批试验数据，生物信息学分析流程及关键参数应保持一致。</w:t>
      </w:r>
    </w:p>
    <w:p w14:paraId="5E14BD2D">
      <w:pPr>
        <w:keepNext w:val="0"/>
        <w:keepLines w:val="0"/>
        <w:pageBreakBefore w:val="0"/>
        <w:widowControl w:val="0"/>
        <w:numPr>
          <w:ilvl w:val="0"/>
          <w:numId w:val="6"/>
        </w:numPr>
        <w:kinsoku/>
        <w:wordWrap/>
        <w:overflowPunct/>
        <w:topLinePunct w:val="0"/>
        <w:autoSpaceDE/>
        <w:autoSpaceDN/>
        <w:bidi w:val="0"/>
        <w:adjustRightInd/>
        <w:snapToGrid/>
        <w:spacing w:line="480" w:lineRule="exact"/>
        <w:ind w:right="0" w:rightChars="0" w:firstLine="480" w:firstLineChars="200"/>
        <w:jc w:val="both"/>
        <w:textAlignment w:val="auto"/>
        <w:rPr>
          <w:rFonts w:hint="default" w:eastAsia="仿宋" w:cs="Times New Roman"/>
          <w:sz w:val="24"/>
          <w:szCs w:val="24"/>
          <w:lang w:val="en-US" w:eastAsia="zh-CN" w:bidi="ar-SA"/>
        </w:rPr>
      </w:pPr>
      <w:r>
        <w:rPr>
          <w:rFonts w:hint="eastAsia" w:eastAsia="仿宋" w:cs="Times New Roman"/>
          <w:sz w:val="24"/>
          <w:szCs w:val="24"/>
          <w:lang w:val="en-US" w:eastAsia="zh-CN" w:bidi="ar-SA"/>
        </w:rPr>
        <w:t>可</w:t>
      </w:r>
      <w:r>
        <w:rPr>
          <w:rFonts w:hint="default" w:eastAsia="仿宋" w:cs="Times New Roman"/>
          <w:sz w:val="24"/>
          <w:szCs w:val="24"/>
          <w:lang w:val="en-US" w:eastAsia="zh-CN" w:bidi="ar-SA"/>
        </w:rPr>
        <w:t>通过搜索特定序列（去除测序接头adaptor、样品索引index和引物），并基于碱基识别质量（&gt;Q20，参考）和序列长度（&gt;预期长度的70%</w:t>
      </w:r>
      <w:r>
        <w:rPr>
          <w:rFonts w:hint="eastAsia" w:eastAsia="仿宋" w:cs="Times New Roman"/>
          <w:sz w:val="24"/>
          <w:szCs w:val="24"/>
          <w:lang w:val="en-US" w:eastAsia="zh-CN" w:bidi="ar-SA"/>
        </w:rPr>
        <w:t>，参考</w:t>
      </w:r>
      <w:r>
        <w:rPr>
          <w:rFonts w:hint="default" w:eastAsia="仿宋" w:cs="Times New Roman"/>
          <w:sz w:val="24"/>
          <w:szCs w:val="24"/>
          <w:lang w:val="en-US" w:eastAsia="zh-CN" w:bidi="ar-SA"/>
        </w:rPr>
        <w:t>）进行序列修剪。</w:t>
      </w:r>
    </w:p>
    <w:p w14:paraId="2B700953">
      <w:pPr>
        <w:keepNext w:val="0"/>
        <w:keepLines w:val="0"/>
        <w:pageBreakBefore w:val="0"/>
        <w:widowControl w:val="0"/>
        <w:numPr>
          <w:ilvl w:val="0"/>
          <w:numId w:val="6"/>
        </w:numPr>
        <w:kinsoku/>
        <w:wordWrap/>
        <w:overflowPunct/>
        <w:topLinePunct w:val="0"/>
        <w:autoSpaceDE/>
        <w:autoSpaceDN/>
        <w:bidi w:val="0"/>
        <w:adjustRightInd/>
        <w:snapToGrid/>
        <w:spacing w:line="480" w:lineRule="exact"/>
        <w:ind w:right="0" w:rightChars="0" w:firstLine="480" w:firstLineChars="200"/>
        <w:jc w:val="both"/>
        <w:textAlignment w:val="auto"/>
        <w:rPr>
          <w:rFonts w:hint="eastAsia" w:eastAsia="仿宋" w:cs="Times New Roman"/>
          <w:sz w:val="24"/>
          <w:szCs w:val="24"/>
          <w:lang w:val="en-US" w:eastAsia="zh-CN" w:bidi="ar-SA"/>
        </w:rPr>
      </w:pPr>
      <w:r>
        <w:rPr>
          <w:rFonts w:hint="default" w:eastAsia="仿宋" w:cs="Times New Roman"/>
          <w:sz w:val="24"/>
          <w:szCs w:val="24"/>
          <w:lang w:val="en-US" w:eastAsia="zh-CN" w:bidi="ar-SA"/>
        </w:rPr>
        <w:t>根据每个样品的Index将序列分配到不同的样品中。</w:t>
      </w:r>
    </w:p>
    <w:p w14:paraId="4730A2B0">
      <w:pPr>
        <w:keepNext w:val="0"/>
        <w:keepLines w:val="0"/>
        <w:pageBreakBefore w:val="0"/>
        <w:widowControl w:val="0"/>
        <w:numPr>
          <w:ilvl w:val="0"/>
          <w:numId w:val="6"/>
        </w:numPr>
        <w:kinsoku/>
        <w:wordWrap/>
        <w:overflowPunct/>
        <w:topLinePunct w:val="0"/>
        <w:autoSpaceDE/>
        <w:autoSpaceDN/>
        <w:bidi w:val="0"/>
        <w:adjustRightInd/>
        <w:snapToGrid/>
        <w:spacing w:line="480" w:lineRule="exact"/>
        <w:ind w:right="0" w:rightChars="0" w:firstLine="480" w:firstLineChars="200"/>
        <w:jc w:val="both"/>
        <w:textAlignment w:val="auto"/>
        <w:rPr>
          <w:rFonts w:hint="eastAsia" w:eastAsia="仿宋" w:cs="Times New Roman"/>
          <w:sz w:val="24"/>
          <w:szCs w:val="24"/>
          <w:lang w:val="en-US" w:eastAsia="zh-CN" w:bidi="ar-SA"/>
        </w:rPr>
      </w:pPr>
      <w:r>
        <w:rPr>
          <w:rFonts w:hint="eastAsia" w:eastAsia="仿宋" w:cs="Times New Roman"/>
          <w:sz w:val="24"/>
          <w:szCs w:val="24"/>
          <w:lang w:val="en-US" w:eastAsia="zh-CN" w:bidi="ar-SA"/>
        </w:rPr>
        <w:t>序列聚类及质量控制</w:t>
      </w:r>
    </w:p>
    <w:p w14:paraId="355373A6">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480" w:firstLineChars="200"/>
        <w:jc w:val="both"/>
        <w:textAlignment w:val="auto"/>
        <w:rPr>
          <w:rFonts w:hint="default" w:eastAsia="仿宋" w:cs="Times New Roman"/>
          <w:sz w:val="24"/>
          <w:szCs w:val="24"/>
          <w:lang w:val="en-US" w:eastAsia="zh-CN" w:bidi="ar-SA"/>
        </w:rPr>
      </w:pPr>
      <w:r>
        <w:rPr>
          <w:rFonts w:hint="eastAsia" w:eastAsia="仿宋" w:cs="Times New Roman"/>
          <w:sz w:val="24"/>
          <w:szCs w:val="24"/>
          <w:lang w:val="en-US" w:eastAsia="zh-CN" w:bidi="ar-SA"/>
        </w:rPr>
        <w:t>①</w:t>
      </w:r>
      <w:r>
        <w:rPr>
          <w:rFonts w:hint="default" w:eastAsia="仿宋" w:cs="Times New Roman"/>
          <w:sz w:val="24"/>
          <w:szCs w:val="24"/>
          <w:lang w:val="en-US" w:eastAsia="zh-CN" w:bidi="ar-SA"/>
        </w:rPr>
        <w:t>可选用OTU或ASV方法进行序列聚类和质量控制，获得分子分类单元，并过滤掉PCR扩增过程中产生的嵌合体序列。</w:t>
      </w:r>
    </w:p>
    <w:p w14:paraId="346B42B9">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480" w:firstLineChars="200"/>
        <w:jc w:val="both"/>
        <w:textAlignment w:val="auto"/>
        <w:rPr>
          <w:rFonts w:hint="default" w:eastAsia="仿宋" w:cs="Times New Roman"/>
          <w:sz w:val="24"/>
          <w:szCs w:val="24"/>
          <w:lang w:val="en-US" w:eastAsia="zh-CN" w:bidi="ar-SA"/>
        </w:rPr>
      </w:pPr>
      <w:r>
        <w:rPr>
          <w:rFonts w:hint="eastAsia" w:eastAsia="仿宋" w:cs="Times New Roman"/>
          <w:sz w:val="24"/>
          <w:szCs w:val="24"/>
          <w:lang w:val="en-US" w:eastAsia="zh-CN" w:bidi="ar-SA"/>
        </w:rPr>
        <w:t>②</w:t>
      </w:r>
      <w:r>
        <w:rPr>
          <w:rFonts w:hint="default" w:eastAsia="仿宋" w:cs="Times New Roman"/>
          <w:sz w:val="24"/>
          <w:szCs w:val="24"/>
          <w:lang w:val="en-US" w:eastAsia="zh-CN" w:bidi="ar-SA"/>
        </w:rPr>
        <w:t>OTU方法：将相似性高于或等于阈值（相似性阈值一般为0.97）的序列合并成OTUs，将序列比对到每个OTU的代表性序列，获得每个OTU在每个样品中出现的序列数。</w:t>
      </w:r>
    </w:p>
    <w:p w14:paraId="2B4293C8">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480" w:firstLineChars="200"/>
        <w:jc w:val="both"/>
        <w:textAlignment w:val="auto"/>
        <w:rPr>
          <w:rFonts w:hint="default" w:eastAsia="仿宋" w:cs="Times New Roman"/>
          <w:sz w:val="24"/>
          <w:szCs w:val="24"/>
          <w:lang w:val="en-US" w:eastAsia="zh-CN" w:bidi="ar-SA"/>
        </w:rPr>
      </w:pPr>
      <w:r>
        <w:rPr>
          <w:rFonts w:hint="eastAsia" w:eastAsia="仿宋" w:cs="Times New Roman"/>
          <w:sz w:val="24"/>
          <w:szCs w:val="24"/>
          <w:lang w:val="en-US" w:eastAsia="zh-CN" w:bidi="ar-SA"/>
        </w:rPr>
        <w:t>③</w:t>
      </w:r>
      <w:r>
        <w:rPr>
          <w:rFonts w:hint="default" w:eastAsia="仿宋" w:cs="Times New Roman"/>
          <w:sz w:val="24"/>
          <w:szCs w:val="24"/>
          <w:lang w:val="en-US" w:eastAsia="zh-CN" w:bidi="ar-SA"/>
        </w:rPr>
        <w:t>ASV方法：每个独特的序列即为一个ASV，根据生物信息学方法过滤潜在的PCR和测序错误的ASV序列，将序列比对到每个ASV，获得每个ASV在每个样品中出现的序列数。</w:t>
      </w:r>
    </w:p>
    <w:p w14:paraId="568858C9">
      <w:pPr>
        <w:keepNext w:val="0"/>
        <w:keepLines w:val="0"/>
        <w:pageBreakBefore w:val="0"/>
        <w:widowControl w:val="0"/>
        <w:numPr>
          <w:ilvl w:val="0"/>
          <w:numId w:val="6"/>
        </w:numPr>
        <w:kinsoku/>
        <w:wordWrap/>
        <w:overflowPunct/>
        <w:topLinePunct w:val="0"/>
        <w:autoSpaceDE/>
        <w:autoSpaceDN/>
        <w:bidi w:val="0"/>
        <w:adjustRightInd/>
        <w:snapToGrid/>
        <w:spacing w:line="480" w:lineRule="exact"/>
        <w:ind w:left="0" w:leftChars="0" w:right="0" w:rightChars="0" w:firstLine="480" w:firstLineChars="200"/>
        <w:jc w:val="both"/>
        <w:textAlignment w:val="auto"/>
        <w:rPr>
          <w:rFonts w:hint="default" w:eastAsia="仿宋" w:cs="Times New Roman"/>
          <w:sz w:val="24"/>
          <w:szCs w:val="24"/>
          <w:lang w:val="en-US" w:eastAsia="zh-CN" w:bidi="ar-SA"/>
        </w:rPr>
      </w:pPr>
      <w:r>
        <w:rPr>
          <w:rFonts w:hint="default" w:eastAsia="仿宋" w:cs="Times New Roman"/>
          <w:sz w:val="24"/>
          <w:szCs w:val="24"/>
          <w:lang w:val="en-US" w:eastAsia="zh-CN" w:bidi="ar-SA"/>
        </w:rPr>
        <w:t>过滤低丰度的分子分类单元</w:t>
      </w:r>
      <w:r>
        <w:rPr>
          <w:rFonts w:hint="eastAsia" w:eastAsia="仿宋" w:cs="Times New Roman"/>
          <w:sz w:val="24"/>
          <w:szCs w:val="24"/>
          <w:lang w:val="en-US" w:eastAsia="zh-CN" w:bidi="ar-SA"/>
        </w:rPr>
        <w:t>：</w:t>
      </w:r>
      <w:r>
        <w:rPr>
          <w:rFonts w:hint="default" w:eastAsia="仿宋" w:cs="Times New Roman"/>
          <w:sz w:val="24"/>
          <w:szCs w:val="24"/>
          <w:lang w:val="en-US" w:eastAsia="zh-CN" w:bidi="ar-SA"/>
        </w:rPr>
        <w:t>过滤低丰度（如序列数为1~5）的分子分类单元（可能为假阳性、污染序列或未去除的嵌合体），也可根据实际监测需求调整过滤的丰度阈值。</w:t>
      </w:r>
    </w:p>
    <w:p w14:paraId="48D42797">
      <w:pPr>
        <w:keepNext w:val="0"/>
        <w:keepLines w:val="0"/>
        <w:pageBreakBefore w:val="0"/>
        <w:widowControl w:val="0"/>
        <w:numPr>
          <w:ilvl w:val="0"/>
          <w:numId w:val="6"/>
        </w:numPr>
        <w:kinsoku/>
        <w:wordWrap/>
        <w:overflowPunct/>
        <w:topLinePunct w:val="0"/>
        <w:autoSpaceDE/>
        <w:autoSpaceDN/>
        <w:bidi w:val="0"/>
        <w:adjustRightInd/>
        <w:snapToGrid/>
        <w:spacing w:line="480" w:lineRule="exact"/>
        <w:ind w:left="0" w:leftChars="0" w:right="0" w:rightChars="0" w:firstLine="480" w:firstLineChars="200"/>
        <w:jc w:val="both"/>
        <w:textAlignment w:val="auto"/>
        <w:rPr>
          <w:rFonts w:hint="default" w:ascii="Times New Roman" w:hAnsi="Times New Roman" w:cs="Times New Roman"/>
          <w:sz w:val="21"/>
          <w:szCs w:val="21"/>
          <w:lang w:val="en-US" w:eastAsia="zh-CN"/>
        </w:rPr>
      </w:pPr>
      <w:r>
        <w:rPr>
          <w:rFonts w:hint="default" w:eastAsia="仿宋" w:cs="Times New Roman"/>
          <w:sz w:val="24"/>
          <w:szCs w:val="24"/>
          <w:lang w:val="en-US" w:eastAsia="zh-CN" w:bidi="ar-SA"/>
        </w:rPr>
        <w:t>序列注释</w:t>
      </w:r>
      <w:r>
        <w:rPr>
          <w:rFonts w:hint="eastAsia" w:eastAsia="仿宋" w:cs="Times New Roman"/>
          <w:sz w:val="24"/>
          <w:szCs w:val="24"/>
          <w:lang w:val="en-US" w:eastAsia="zh-CN" w:bidi="ar-SA"/>
        </w:rPr>
        <w:t>：</w:t>
      </w:r>
      <w:r>
        <w:rPr>
          <w:rFonts w:hint="default" w:eastAsia="仿宋" w:cs="Times New Roman"/>
          <w:sz w:val="24"/>
          <w:szCs w:val="24"/>
          <w:lang w:val="en-US" w:eastAsia="zh-CN" w:bidi="ar-SA"/>
        </w:rPr>
        <w:t>将分子分类单元的序列与条形码数据库比对分析，获得物种注释信息。物种注释方法和物种鉴定阈值（主要是序列相似性）的选择，应综合考虑选用的条形码片段、参考数据库的完整性及数据用途。当参考数据库中不存在目标物种的DNA序列时，参照附录构建DNA条形码。</w:t>
      </w:r>
    </w:p>
    <w:p w14:paraId="534EDF6B">
      <w:pPr>
        <w:keepNext w:val="0"/>
        <w:keepLines w:val="0"/>
        <w:pageBreakBefore w:val="0"/>
        <w:widowControl w:val="0"/>
        <w:numPr>
          <w:ilvl w:val="0"/>
          <w:numId w:val="6"/>
        </w:numPr>
        <w:kinsoku/>
        <w:wordWrap/>
        <w:overflowPunct/>
        <w:topLinePunct w:val="0"/>
        <w:autoSpaceDE/>
        <w:autoSpaceDN/>
        <w:bidi w:val="0"/>
        <w:adjustRightInd/>
        <w:snapToGrid/>
        <w:spacing w:line="480" w:lineRule="exact"/>
        <w:ind w:left="0" w:leftChars="0" w:right="0" w:rightChars="0" w:firstLine="480" w:firstLineChars="200"/>
        <w:jc w:val="both"/>
        <w:textAlignment w:val="auto"/>
        <w:rPr>
          <w:rFonts w:hint="default" w:eastAsia="仿宋" w:cs="Times New Roman"/>
          <w:sz w:val="24"/>
          <w:szCs w:val="24"/>
          <w:lang w:val="en-US" w:eastAsia="zh-CN" w:bidi="ar-SA"/>
        </w:rPr>
      </w:pPr>
      <w:r>
        <w:rPr>
          <w:rFonts w:hint="default" w:eastAsia="仿宋" w:cs="Times New Roman"/>
          <w:sz w:val="24"/>
          <w:szCs w:val="24"/>
          <w:lang w:val="en-US" w:eastAsia="zh-CN" w:bidi="ar-SA"/>
        </w:rPr>
        <w:t>生物统计表</w:t>
      </w:r>
    </w:p>
    <w:p w14:paraId="3E258D20">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480" w:firstLineChars="200"/>
        <w:jc w:val="both"/>
        <w:textAlignment w:val="auto"/>
        <w:rPr>
          <w:rFonts w:hint="default" w:eastAsia="仿宋" w:cs="Times New Roman"/>
          <w:sz w:val="24"/>
          <w:szCs w:val="24"/>
          <w:lang w:val="en-US" w:eastAsia="zh-CN" w:bidi="ar-SA"/>
        </w:rPr>
      </w:pPr>
      <w:r>
        <w:rPr>
          <w:rFonts w:hint="eastAsia" w:eastAsia="仿宋" w:cs="Times New Roman"/>
          <w:sz w:val="24"/>
          <w:szCs w:val="24"/>
          <w:lang w:val="en-US" w:eastAsia="zh-CN" w:bidi="ar-SA"/>
        </w:rPr>
        <w:t>①</w:t>
      </w:r>
      <w:r>
        <w:rPr>
          <w:rFonts w:hint="default" w:eastAsia="仿宋" w:cs="Times New Roman"/>
          <w:sz w:val="24"/>
          <w:szCs w:val="24"/>
          <w:lang w:val="en-US" w:eastAsia="zh-CN" w:bidi="ar-SA"/>
        </w:rPr>
        <w:t>检出判定</w:t>
      </w:r>
      <w:r>
        <w:rPr>
          <w:rFonts w:hint="eastAsia" w:eastAsia="仿宋" w:cs="Times New Roman"/>
          <w:sz w:val="24"/>
          <w:szCs w:val="24"/>
          <w:lang w:val="en-US" w:eastAsia="zh-CN" w:bidi="ar-SA"/>
        </w:rPr>
        <w:t>：</w:t>
      </w:r>
      <w:r>
        <w:rPr>
          <w:rFonts w:hint="default" w:eastAsia="仿宋" w:cs="Times New Roman"/>
          <w:sz w:val="24"/>
          <w:szCs w:val="24"/>
          <w:lang w:val="en-US" w:eastAsia="zh-CN" w:bidi="ar-SA"/>
        </w:rPr>
        <w:t>分子分类单元在某一位点不少于2/3的生物重复样品中检出。建议每个样品只保留相对丰度&gt;0.01%的分子分类单元。</w:t>
      </w:r>
    </w:p>
    <w:p w14:paraId="0C9447C0">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480" w:firstLineChars="200"/>
        <w:jc w:val="both"/>
        <w:textAlignment w:val="auto"/>
        <w:rPr>
          <w:rFonts w:hint="default" w:eastAsia="仿宋" w:cs="Times New Roman"/>
          <w:sz w:val="24"/>
          <w:szCs w:val="24"/>
          <w:lang w:val="en-US" w:eastAsia="zh-CN" w:bidi="ar-SA"/>
        </w:rPr>
      </w:pPr>
      <w:r>
        <w:rPr>
          <w:rFonts w:hint="eastAsia" w:eastAsia="仿宋" w:cs="Times New Roman"/>
          <w:sz w:val="24"/>
          <w:szCs w:val="24"/>
          <w:lang w:val="en-US" w:eastAsia="zh-CN" w:bidi="ar-SA"/>
        </w:rPr>
        <w:t>②</w:t>
      </w:r>
      <w:r>
        <w:rPr>
          <w:rFonts w:hint="default" w:eastAsia="仿宋" w:cs="Times New Roman"/>
          <w:sz w:val="24"/>
          <w:szCs w:val="24"/>
          <w:lang w:val="en-US" w:eastAsia="zh-CN" w:bidi="ar-SA"/>
        </w:rPr>
        <w:t>相对丰度</w:t>
      </w:r>
      <w:r>
        <w:rPr>
          <w:rFonts w:hint="eastAsia" w:eastAsia="仿宋" w:cs="Times New Roman"/>
          <w:sz w:val="24"/>
          <w:szCs w:val="24"/>
          <w:lang w:val="en-US" w:eastAsia="zh-CN" w:bidi="ar-SA"/>
        </w:rPr>
        <w:t>：</w:t>
      </w:r>
      <w:r>
        <w:rPr>
          <w:rFonts w:hint="default" w:eastAsia="仿宋" w:cs="Times New Roman"/>
          <w:sz w:val="24"/>
          <w:szCs w:val="24"/>
          <w:lang w:val="en-US" w:eastAsia="zh-CN" w:bidi="ar-SA"/>
        </w:rPr>
        <w:t>每个位点检出的分子分类单元的相对丰度为所有生物重复样品中相对丰度的平均值。</w:t>
      </w:r>
    </w:p>
    <w:p w14:paraId="10B51B29">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480" w:firstLineChars="200"/>
        <w:jc w:val="both"/>
        <w:textAlignment w:val="auto"/>
        <w:rPr>
          <w:rFonts w:hint="default" w:eastAsia="仿宋" w:cs="Times New Roman"/>
          <w:sz w:val="24"/>
          <w:szCs w:val="24"/>
          <w:lang w:val="en-US" w:eastAsia="zh-CN" w:bidi="ar-SA"/>
        </w:rPr>
      </w:pPr>
      <w:r>
        <w:rPr>
          <w:rFonts w:hint="eastAsia" w:eastAsia="仿宋" w:cs="Times New Roman"/>
          <w:sz w:val="24"/>
          <w:szCs w:val="24"/>
          <w:lang w:val="en-US" w:eastAsia="zh-CN" w:bidi="ar-SA"/>
        </w:rPr>
        <w:t>③</w:t>
      </w:r>
      <w:r>
        <w:rPr>
          <w:rFonts w:hint="default" w:eastAsia="仿宋" w:cs="Times New Roman"/>
          <w:sz w:val="24"/>
          <w:szCs w:val="24"/>
          <w:lang w:val="en-US" w:eastAsia="zh-CN" w:bidi="ar-SA"/>
        </w:rPr>
        <w:t>生物统计表</w:t>
      </w:r>
      <w:r>
        <w:rPr>
          <w:rFonts w:hint="eastAsia" w:eastAsia="仿宋" w:cs="Times New Roman"/>
          <w:sz w:val="24"/>
          <w:szCs w:val="24"/>
          <w:lang w:val="en-US" w:eastAsia="zh-CN" w:bidi="ar-SA"/>
        </w:rPr>
        <w:t>：</w:t>
      </w:r>
      <w:r>
        <w:rPr>
          <w:rFonts w:hint="default" w:eastAsia="仿宋" w:cs="Times New Roman"/>
          <w:sz w:val="24"/>
          <w:szCs w:val="24"/>
          <w:lang w:val="en-US" w:eastAsia="zh-CN" w:bidi="ar-SA"/>
        </w:rPr>
        <w:t>每个样品的生物多样性统计表由分子分类单元（如ASVs或OTUs）名称、序列、物种注释信息、序列数和相对丰度组成。</w:t>
      </w:r>
    </w:p>
    <w:p w14:paraId="62E469B9">
      <w:pPr>
        <w:keepNext w:val="0"/>
        <w:keepLines w:val="0"/>
        <w:pageBreakBefore w:val="0"/>
        <w:widowControl w:val="0"/>
        <w:numPr>
          <w:ilvl w:val="0"/>
          <w:numId w:val="0"/>
        </w:numPr>
        <w:kinsoku/>
        <w:wordWrap/>
        <w:overflowPunct/>
        <w:topLinePunct w:val="0"/>
        <w:autoSpaceDE/>
        <w:autoSpaceDN/>
        <w:bidi w:val="0"/>
        <w:snapToGrid/>
        <w:spacing w:line="480" w:lineRule="exact"/>
        <w:ind w:leftChars="0"/>
        <w:textAlignment w:val="auto"/>
        <w:rPr>
          <w:rFonts w:hint="default" w:eastAsia="仿宋" w:cs="Times New Roman"/>
          <w:b/>
          <w:bCs/>
          <w:sz w:val="24"/>
          <w:szCs w:val="24"/>
          <w:lang w:val="en-US" w:eastAsia="zh-CN"/>
        </w:rPr>
      </w:pPr>
      <w:bookmarkStart w:id="78" w:name="_Toc133513169"/>
      <w:r>
        <w:rPr>
          <w:rFonts w:hint="eastAsia" w:eastAsia="仿宋" w:cs="Times New Roman"/>
          <w:b/>
          <w:bCs/>
          <w:sz w:val="24"/>
          <w:szCs w:val="24"/>
          <w:lang w:val="en-US" w:eastAsia="zh-CN"/>
        </w:rPr>
        <w:t xml:space="preserve">5.2.7 </w:t>
      </w:r>
      <w:r>
        <w:rPr>
          <w:rFonts w:hint="default" w:eastAsia="仿宋" w:cs="Times New Roman"/>
          <w:b/>
          <w:bCs/>
          <w:sz w:val="24"/>
          <w:szCs w:val="24"/>
          <w:lang w:val="en-US" w:eastAsia="zh-CN"/>
        </w:rPr>
        <w:t>质量控制与评价指标</w:t>
      </w:r>
      <w:bookmarkEnd w:id="78"/>
    </w:p>
    <w:p w14:paraId="36B5ED43">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0" w:leftChars="0" w:right="0" w:firstLine="480" w:firstLineChars="200"/>
        <w:jc w:val="both"/>
        <w:textAlignment w:val="auto"/>
        <w:rPr>
          <w:rFonts w:hint="default" w:eastAsia="仿宋" w:cs="Times New Roman"/>
          <w:sz w:val="24"/>
          <w:szCs w:val="24"/>
          <w:lang w:val="en-US" w:eastAsia="zh-CN" w:bidi="ar-SA"/>
        </w:rPr>
      </w:pPr>
      <w:bookmarkStart w:id="79" w:name="_Toc133513170"/>
      <w:r>
        <w:rPr>
          <w:rFonts w:hint="default" w:eastAsia="仿宋" w:cs="Times New Roman"/>
          <w:sz w:val="24"/>
          <w:szCs w:val="24"/>
          <w:lang w:val="en-US" w:eastAsia="zh-CN" w:bidi="ar-SA"/>
        </w:rPr>
        <w:t>质量保证与控制</w:t>
      </w:r>
      <w:bookmarkEnd w:id="79"/>
    </w:p>
    <w:p w14:paraId="43A8A58E">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480" w:firstLineChars="200"/>
        <w:jc w:val="both"/>
        <w:textAlignment w:val="auto"/>
        <w:rPr>
          <w:rFonts w:hint="default" w:eastAsia="仿宋" w:cs="Times New Roman"/>
          <w:sz w:val="24"/>
          <w:szCs w:val="24"/>
          <w:lang w:val="en-US" w:eastAsia="zh-CN" w:bidi="ar-SA"/>
        </w:rPr>
      </w:pPr>
      <w:r>
        <w:rPr>
          <w:rFonts w:hint="eastAsia" w:eastAsia="仿宋" w:cs="Times New Roman"/>
          <w:sz w:val="24"/>
          <w:szCs w:val="24"/>
          <w:lang w:val="en-US" w:eastAsia="zh-CN" w:bidi="ar-SA"/>
        </w:rPr>
        <w:t>1）</w:t>
      </w:r>
      <w:r>
        <w:rPr>
          <w:rFonts w:hint="default" w:eastAsia="仿宋" w:cs="Times New Roman"/>
          <w:sz w:val="24"/>
          <w:szCs w:val="24"/>
          <w:lang w:val="en-US" w:eastAsia="zh-CN" w:bidi="ar-SA"/>
        </w:rPr>
        <w:t>野外质量保证与控制</w:t>
      </w:r>
      <w:r>
        <w:rPr>
          <w:rFonts w:hint="eastAsia" w:eastAsia="仿宋" w:cs="Times New Roman"/>
          <w:sz w:val="24"/>
          <w:szCs w:val="24"/>
          <w:lang w:val="en-US" w:eastAsia="zh-CN" w:bidi="ar-SA"/>
        </w:rPr>
        <w:t>：</w:t>
      </w:r>
      <w:r>
        <w:rPr>
          <w:rFonts w:hint="default" w:eastAsia="仿宋" w:cs="Times New Roman"/>
          <w:sz w:val="24"/>
          <w:szCs w:val="24"/>
          <w:lang w:val="en-US" w:eastAsia="zh-CN" w:bidi="ar-SA"/>
        </w:rPr>
        <w:t>野外样品采集与运输应做好记录和交接，并防止样品的交叉污染。</w:t>
      </w:r>
    </w:p>
    <w:p w14:paraId="67B60C9A">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480" w:firstLineChars="200"/>
        <w:jc w:val="both"/>
        <w:textAlignment w:val="auto"/>
        <w:rPr>
          <w:rFonts w:hint="default" w:eastAsia="仿宋" w:cs="Times New Roman"/>
          <w:sz w:val="24"/>
          <w:szCs w:val="24"/>
          <w:lang w:val="en-US" w:eastAsia="zh-CN" w:bidi="ar-SA"/>
        </w:rPr>
      </w:pPr>
      <w:r>
        <w:rPr>
          <w:rFonts w:hint="eastAsia" w:eastAsia="仿宋" w:cs="Times New Roman"/>
          <w:sz w:val="24"/>
          <w:szCs w:val="24"/>
          <w:lang w:val="en-US" w:eastAsia="zh-CN" w:bidi="ar-SA"/>
        </w:rPr>
        <w:t>2）</w:t>
      </w:r>
      <w:r>
        <w:rPr>
          <w:rFonts w:hint="default" w:eastAsia="仿宋" w:cs="Times New Roman"/>
          <w:sz w:val="24"/>
          <w:szCs w:val="24"/>
          <w:lang w:val="en-US" w:eastAsia="zh-CN" w:bidi="ar-SA"/>
        </w:rPr>
        <w:t>实验室质量保证与控制</w:t>
      </w:r>
    </w:p>
    <w:p w14:paraId="08F925BD">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480" w:firstLineChars="200"/>
        <w:jc w:val="both"/>
        <w:textAlignment w:val="auto"/>
        <w:rPr>
          <w:rFonts w:hint="default" w:eastAsia="仿宋" w:cs="Times New Roman"/>
          <w:sz w:val="24"/>
          <w:szCs w:val="24"/>
          <w:lang w:val="en-US" w:eastAsia="zh-CN" w:bidi="ar-SA"/>
        </w:rPr>
      </w:pPr>
      <w:r>
        <w:rPr>
          <w:rFonts w:hint="eastAsia" w:eastAsia="仿宋" w:cs="Times New Roman"/>
          <w:sz w:val="24"/>
          <w:szCs w:val="24"/>
          <w:lang w:val="en-US" w:eastAsia="zh-CN" w:bidi="ar-SA"/>
        </w:rPr>
        <w:t>①</w:t>
      </w:r>
      <w:r>
        <w:rPr>
          <w:rFonts w:hint="default" w:eastAsia="仿宋" w:cs="Times New Roman"/>
          <w:sz w:val="24"/>
          <w:szCs w:val="24"/>
          <w:lang w:val="en-US" w:eastAsia="zh-CN" w:bidi="ar-SA"/>
        </w:rPr>
        <w:t>样品交接与记录：实验室样品交接时，应办理正式交接手续，由接收样品的工作人员记录其状态，检查是否异常或是否与相应检验方法中描述的标准状态有所偏离。实验室应建立送检样品的唯一识别系统，以保证任何时候的样品识别都不会发生混淆。</w:t>
      </w:r>
    </w:p>
    <w:p w14:paraId="2F55B62D">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480" w:firstLineChars="200"/>
        <w:jc w:val="both"/>
        <w:textAlignment w:val="auto"/>
        <w:rPr>
          <w:rFonts w:hint="default" w:eastAsia="仿宋" w:cs="Times New Roman"/>
          <w:sz w:val="24"/>
          <w:szCs w:val="24"/>
          <w:lang w:val="en-US" w:eastAsia="zh-CN" w:bidi="ar-SA"/>
        </w:rPr>
      </w:pPr>
      <w:r>
        <w:rPr>
          <w:rFonts w:hint="eastAsia" w:eastAsia="仿宋" w:cs="Times New Roman"/>
          <w:sz w:val="24"/>
          <w:szCs w:val="24"/>
          <w:lang w:val="en-US" w:eastAsia="zh-CN" w:bidi="ar-SA"/>
        </w:rPr>
        <w:t>②</w:t>
      </w:r>
      <w:r>
        <w:rPr>
          <w:rFonts w:hint="default" w:eastAsia="仿宋" w:cs="Times New Roman"/>
          <w:sz w:val="24"/>
          <w:szCs w:val="24"/>
          <w:lang w:val="en-US" w:eastAsia="zh-CN" w:bidi="ar-SA"/>
        </w:rPr>
        <w:t>本标准涉及大量分子生物学实验操作，防止样品的污染尤其交叉污染至关重要。特规定实验室注意事项。</w:t>
      </w:r>
    </w:p>
    <w:p w14:paraId="118A8F9D">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480" w:firstLineChars="200"/>
        <w:jc w:val="both"/>
        <w:textAlignment w:val="auto"/>
        <w:rPr>
          <w:rFonts w:hint="default" w:eastAsia="仿宋" w:cs="Times New Roman"/>
          <w:sz w:val="24"/>
          <w:szCs w:val="24"/>
          <w:lang w:val="en-US" w:eastAsia="zh-CN" w:bidi="ar-SA"/>
        </w:rPr>
      </w:pPr>
      <w:bookmarkStart w:id="80" w:name="_Toc133513171"/>
      <w:r>
        <w:rPr>
          <w:rFonts w:hint="eastAsia" w:eastAsia="仿宋" w:cs="Times New Roman"/>
          <w:sz w:val="24"/>
          <w:szCs w:val="24"/>
          <w:lang w:val="en-US" w:eastAsia="zh-CN" w:bidi="ar-SA"/>
        </w:rPr>
        <w:t>3）</w:t>
      </w:r>
      <w:r>
        <w:rPr>
          <w:rFonts w:hint="default" w:eastAsia="仿宋" w:cs="Times New Roman"/>
          <w:sz w:val="24"/>
          <w:szCs w:val="24"/>
          <w:lang w:val="en-US" w:eastAsia="zh-CN" w:bidi="ar-SA"/>
        </w:rPr>
        <w:t>质量控制参数</w:t>
      </w:r>
      <w:bookmarkEnd w:id="80"/>
      <w:r>
        <w:rPr>
          <w:rFonts w:hint="eastAsia" w:eastAsia="仿宋" w:cs="Times New Roman"/>
          <w:sz w:val="24"/>
          <w:szCs w:val="24"/>
          <w:lang w:val="en-US" w:eastAsia="zh-CN" w:bidi="ar-SA"/>
        </w:rPr>
        <w:t>：</w:t>
      </w:r>
      <w:r>
        <w:rPr>
          <w:rFonts w:hint="default" w:eastAsia="仿宋" w:cs="Times New Roman"/>
          <w:sz w:val="24"/>
          <w:szCs w:val="24"/>
          <w:lang w:val="en-US" w:eastAsia="zh-CN" w:bidi="ar-SA"/>
        </w:rPr>
        <w:t>环境DNA技术质量控制的三个主要手段</w:t>
      </w:r>
      <w:r>
        <w:rPr>
          <w:rFonts w:hint="eastAsia" w:eastAsia="仿宋" w:cs="Times New Roman"/>
          <w:sz w:val="24"/>
          <w:szCs w:val="24"/>
          <w:lang w:val="en-US" w:eastAsia="zh-CN" w:bidi="ar-SA"/>
        </w:rPr>
        <w:t>：</w:t>
      </w:r>
      <w:r>
        <w:rPr>
          <w:rFonts w:hint="default" w:eastAsia="仿宋" w:cs="Times New Roman"/>
          <w:sz w:val="24"/>
          <w:szCs w:val="24"/>
          <w:lang w:val="en-US" w:eastAsia="zh-CN" w:bidi="ar-SA"/>
        </w:rPr>
        <w:t>阴性对照；阳性对照；</w:t>
      </w:r>
      <w:r>
        <w:rPr>
          <w:rFonts w:hint="eastAsia" w:eastAsia="仿宋" w:cs="Times New Roman"/>
          <w:sz w:val="24"/>
          <w:szCs w:val="24"/>
          <w:lang w:val="en-US" w:eastAsia="zh-CN" w:bidi="ar-SA"/>
        </w:rPr>
        <w:t>平行</w:t>
      </w:r>
      <w:r>
        <w:rPr>
          <w:rFonts w:hint="default" w:eastAsia="仿宋" w:cs="Times New Roman"/>
          <w:sz w:val="24"/>
          <w:szCs w:val="24"/>
          <w:lang w:val="en-US" w:eastAsia="zh-CN" w:bidi="ar-SA"/>
        </w:rPr>
        <w:t>样品</w:t>
      </w:r>
      <w:r>
        <w:rPr>
          <w:rFonts w:hint="eastAsia" w:eastAsia="仿宋" w:cs="Times New Roman"/>
          <w:sz w:val="24"/>
          <w:szCs w:val="24"/>
          <w:lang w:val="en-US" w:eastAsia="zh-CN" w:bidi="ar-SA"/>
        </w:rPr>
        <w:t>。</w:t>
      </w:r>
    </w:p>
    <w:p w14:paraId="03CD5771">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480" w:firstLineChars="200"/>
        <w:jc w:val="both"/>
        <w:textAlignment w:val="auto"/>
        <w:rPr>
          <w:rFonts w:hint="default" w:eastAsia="仿宋" w:cs="Times New Roman"/>
          <w:sz w:val="24"/>
          <w:szCs w:val="24"/>
          <w:lang w:val="en-US" w:eastAsia="zh-CN" w:bidi="ar-SA"/>
        </w:rPr>
      </w:pPr>
      <w:r>
        <w:rPr>
          <w:rFonts w:hint="eastAsia" w:eastAsia="仿宋" w:cs="Times New Roman"/>
          <w:sz w:val="24"/>
          <w:szCs w:val="24"/>
          <w:lang w:val="en-US" w:eastAsia="zh-CN" w:bidi="ar-SA"/>
        </w:rPr>
        <w:t>①</w:t>
      </w:r>
      <w:r>
        <w:rPr>
          <w:rFonts w:hint="default" w:eastAsia="仿宋" w:cs="Times New Roman"/>
          <w:sz w:val="24"/>
          <w:szCs w:val="24"/>
          <w:lang w:val="en-US" w:eastAsia="zh-CN" w:bidi="ar-SA"/>
        </w:rPr>
        <w:t>阴性对照</w:t>
      </w:r>
      <w:r>
        <w:rPr>
          <w:rFonts w:hint="eastAsia" w:eastAsia="仿宋" w:cs="Times New Roman"/>
          <w:sz w:val="24"/>
          <w:szCs w:val="24"/>
          <w:lang w:val="en-US" w:eastAsia="zh-CN" w:bidi="ar-SA"/>
        </w:rPr>
        <w:t>：</w:t>
      </w:r>
      <w:r>
        <w:rPr>
          <w:rFonts w:hint="default" w:eastAsia="仿宋" w:cs="Times New Roman"/>
          <w:sz w:val="24"/>
          <w:szCs w:val="24"/>
          <w:lang w:val="en-US" w:eastAsia="zh-CN" w:bidi="ar-SA"/>
        </w:rPr>
        <w:t>在样品采集、DNA提取和PCR扩增阶段应分别设置不少于3个阴性对照，也可适当设置测序的阴性对照。</w:t>
      </w:r>
    </w:p>
    <w:p w14:paraId="6BB6719A">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480" w:firstLineChars="200"/>
        <w:jc w:val="both"/>
        <w:textAlignment w:val="auto"/>
        <w:rPr>
          <w:rFonts w:hint="default" w:ascii="Times New Roman" w:hAnsi="Times New Roman" w:eastAsia="宋体" w:cs="Times New Roman"/>
          <w:lang w:eastAsia="zh-CN"/>
        </w:rPr>
      </w:pPr>
      <w:r>
        <w:rPr>
          <w:rFonts w:hint="eastAsia" w:eastAsia="仿宋" w:cs="Times New Roman"/>
          <w:sz w:val="24"/>
          <w:szCs w:val="24"/>
          <w:lang w:val="en-US" w:eastAsia="zh-CN" w:bidi="ar-SA"/>
        </w:rPr>
        <w:t>②</w:t>
      </w:r>
      <w:r>
        <w:rPr>
          <w:rFonts w:hint="default" w:eastAsia="仿宋" w:cs="Times New Roman"/>
          <w:sz w:val="24"/>
          <w:szCs w:val="24"/>
          <w:lang w:val="en-US" w:eastAsia="zh-CN" w:bidi="ar-SA"/>
        </w:rPr>
        <w:t>阳性对照</w:t>
      </w:r>
      <w:r>
        <w:rPr>
          <w:rFonts w:hint="eastAsia" w:eastAsia="仿宋" w:cs="Times New Roman"/>
          <w:sz w:val="24"/>
          <w:szCs w:val="24"/>
          <w:lang w:val="en-US" w:eastAsia="zh-CN" w:bidi="ar-SA"/>
        </w:rPr>
        <w:t>：</w:t>
      </w:r>
      <w:r>
        <w:rPr>
          <w:rFonts w:hint="default" w:eastAsia="仿宋" w:cs="Times New Roman"/>
          <w:sz w:val="24"/>
          <w:szCs w:val="24"/>
          <w:lang w:val="en-US" w:eastAsia="zh-CN" w:bidi="ar-SA"/>
        </w:rPr>
        <w:t>建议设置不少于6个PCR扩增的阳性对照，作为阳性质控样本。也可根据实验需要和实验条件在DNA提取和测序过程中适当设置阳性对照（表2）。</w:t>
      </w:r>
    </w:p>
    <w:p w14:paraId="55EA5B60">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right="0" w:rightChars="0" w:firstLine="0" w:firstLineChars="0"/>
        <w:jc w:val="center"/>
        <w:textAlignment w:val="auto"/>
        <w:rPr>
          <w:rFonts w:hint="default" w:ascii="Times New Roman" w:hAnsi="Times New Roman" w:eastAsia="仿宋" w:cs="Times New Roman"/>
          <w:sz w:val="24"/>
          <w:szCs w:val="24"/>
          <w:lang w:val="en-US" w:eastAsia="zh-CN" w:bidi="ar-SA"/>
        </w:rPr>
      </w:pPr>
      <w:r>
        <w:rPr>
          <w:rFonts w:hint="default" w:ascii="Times New Roman" w:hAnsi="Times New Roman" w:eastAsia="仿宋" w:cs="Times New Roman"/>
          <w:sz w:val="24"/>
          <w:szCs w:val="24"/>
          <w:lang w:val="en-US" w:eastAsia="zh-CN" w:bidi="ar-SA"/>
        </w:rPr>
        <w:t>表 2 环境DNA宏条形码技术每个流程设置的阴性和阳性对照</w:t>
      </w:r>
    </w:p>
    <w:tbl>
      <w:tblPr>
        <w:tblStyle w:val="18"/>
        <w:tblW w:w="4998" w:type="pct"/>
        <w:tblInd w:w="0" w:type="dxa"/>
        <w:tblLayout w:type="autofit"/>
        <w:tblCellMar>
          <w:top w:w="44" w:type="dxa"/>
          <w:left w:w="0" w:type="dxa"/>
          <w:bottom w:w="0" w:type="dxa"/>
          <w:right w:w="115" w:type="dxa"/>
        </w:tblCellMar>
      </w:tblPr>
      <w:tblGrid>
        <w:gridCol w:w="3504"/>
        <w:gridCol w:w="1729"/>
        <w:gridCol w:w="3190"/>
      </w:tblGrid>
      <w:tr w14:paraId="1765D54E">
        <w:tblPrEx>
          <w:tblCellMar>
            <w:top w:w="44" w:type="dxa"/>
            <w:left w:w="0" w:type="dxa"/>
            <w:bottom w:w="0" w:type="dxa"/>
            <w:right w:w="115" w:type="dxa"/>
          </w:tblCellMar>
        </w:tblPrEx>
        <w:trPr>
          <w:trHeight w:val="397" w:hRule="atLeast"/>
          <w:tblHeader/>
        </w:trPr>
        <w:tc>
          <w:tcPr>
            <w:tcW w:w="2079" w:type="pct"/>
            <w:tcBorders>
              <w:top w:val="single" w:color="auto" w:sz="4" w:space="0"/>
              <w:left w:val="single" w:color="auto" w:sz="4" w:space="0"/>
              <w:bottom w:val="single" w:color="auto" w:sz="4" w:space="0"/>
              <w:right w:val="single" w:color="auto" w:sz="4" w:space="0"/>
            </w:tcBorders>
            <w:noWrap w:val="0"/>
            <w:vAlign w:val="center"/>
          </w:tcPr>
          <w:p w14:paraId="535908E9">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default" w:ascii="Times New Roman" w:hAnsi="Times New Roman" w:eastAsia="仿宋_GB2312" w:cs="仿宋_GB2312"/>
                <w:sz w:val="21"/>
              </w:rPr>
            </w:pPr>
            <w:r>
              <w:rPr>
                <w:rFonts w:hint="default" w:ascii="Times New Roman" w:hAnsi="Times New Roman" w:eastAsia="仿宋_GB2312" w:cs="仿宋_GB2312"/>
                <w:sz w:val="21"/>
              </w:rPr>
              <w:t>操作过程</w:t>
            </w:r>
          </w:p>
        </w:tc>
        <w:tc>
          <w:tcPr>
            <w:tcW w:w="1026" w:type="pct"/>
            <w:tcBorders>
              <w:top w:val="single" w:color="auto" w:sz="4" w:space="0"/>
              <w:left w:val="single" w:color="auto" w:sz="4" w:space="0"/>
              <w:bottom w:val="single" w:color="auto" w:sz="4" w:space="0"/>
              <w:right w:val="single" w:color="auto" w:sz="4" w:space="0"/>
            </w:tcBorders>
            <w:noWrap w:val="0"/>
            <w:vAlign w:val="center"/>
          </w:tcPr>
          <w:p w14:paraId="40E6A9F8">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default" w:ascii="Times New Roman" w:hAnsi="Times New Roman" w:eastAsia="仿宋_GB2312" w:cs="仿宋_GB2312"/>
                <w:sz w:val="21"/>
              </w:rPr>
            </w:pPr>
            <w:r>
              <w:rPr>
                <w:rFonts w:hint="default" w:ascii="Times New Roman" w:hAnsi="Times New Roman" w:eastAsia="仿宋_GB2312" w:cs="仿宋_GB2312"/>
                <w:sz w:val="21"/>
              </w:rPr>
              <w:t>阴性对照</w:t>
            </w:r>
          </w:p>
        </w:tc>
        <w:tc>
          <w:tcPr>
            <w:tcW w:w="1893" w:type="pct"/>
            <w:tcBorders>
              <w:top w:val="single" w:color="auto" w:sz="4" w:space="0"/>
              <w:left w:val="single" w:color="auto" w:sz="4" w:space="0"/>
              <w:bottom w:val="single" w:color="auto" w:sz="4" w:space="0"/>
              <w:right w:val="single" w:color="auto" w:sz="4" w:space="0"/>
            </w:tcBorders>
            <w:noWrap w:val="0"/>
            <w:vAlign w:val="center"/>
          </w:tcPr>
          <w:p w14:paraId="35A0C0C6">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default" w:ascii="Times New Roman" w:hAnsi="Times New Roman" w:eastAsia="仿宋_GB2312" w:cs="仿宋_GB2312"/>
                <w:sz w:val="21"/>
              </w:rPr>
            </w:pPr>
            <w:r>
              <w:rPr>
                <w:rFonts w:hint="default" w:ascii="Times New Roman" w:hAnsi="Times New Roman" w:eastAsia="仿宋_GB2312" w:cs="仿宋_GB2312"/>
                <w:sz w:val="21"/>
              </w:rPr>
              <w:t>阳性对照</w:t>
            </w:r>
          </w:p>
        </w:tc>
      </w:tr>
      <w:tr w14:paraId="63DD755C">
        <w:tblPrEx>
          <w:tblCellMar>
            <w:top w:w="44" w:type="dxa"/>
            <w:left w:w="0" w:type="dxa"/>
            <w:bottom w:w="0" w:type="dxa"/>
            <w:right w:w="115" w:type="dxa"/>
          </w:tblCellMar>
        </w:tblPrEx>
        <w:trPr>
          <w:trHeight w:val="397" w:hRule="atLeast"/>
        </w:trPr>
        <w:tc>
          <w:tcPr>
            <w:tcW w:w="2079" w:type="pct"/>
            <w:tcBorders>
              <w:top w:val="single" w:color="auto" w:sz="4" w:space="0"/>
              <w:left w:val="single" w:color="auto" w:sz="4" w:space="0"/>
              <w:bottom w:val="single" w:color="auto" w:sz="4" w:space="0"/>
              <w:right w:val="single" w:color="auto" w:sz="4" w:space="0"/>
            </w:tcBorders>
            <w:noWrap w:val="0"/>
            <w:vAlign w:val="center"/>
          </w:tcPr>
          <w:p w14:paraId="51074A27">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default" w:ascii="Times New Roman" w:hAnsi="Times New Roman" w:eastAsia="仿宋_GB2312" w:cs="仿宋_GB2312"/>
                <w:sz w:val="21"/>
              </w:rPr>
            </w:pPr>
            <w:r>
              <w:rPr>
                <w:rFonts w:hint="default" w:ascii="Times New Roman" w:hAnsi="Times New Roman" w:eastAsia="仿宋_GB2312" w:cs="仿宋_GB2312"/>
                <w:sz w:val="21"/>
              </w:rPr>
              <w:t>过滤</w:t>
            </w:r>
          </w:p>
        </w:tc>
        <w:tc>
          <w:tcPr>
            <w:tcW w:w="1026" w:type="pct"/>
            <w:tcBorders>
              <w:top w:val="single" w:color="auto" w:sz="4" w:space="0"/>
              <w:left w:val="single" w:color="auto" w:sz="4" w:space="0"/>
              <w:bottom w:val="single" w:color="auto" w:sz="4" w:space="0"/>
              <w:right w:val="single" w:color="auto" w:sz="4" w:space="0"/>
            </w:tcBorders>
            <w:noWrap w:val="0"/>
            <w:vAlign w:val="center"/>
          </w:tcPr>
          <w:p w14:paraId="52DE007C">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default" w:ascii="Times New Roman" w:hAnsi="Times New Roman" w:eastAsia="仿宋_GB2312" w:cs="仿宋_GB2312"/>
                <w:sz w:val="21"/>
              </w:rPr>
            </w:pPr>
            <w:r>
              <w:rPr>
                <w:rFonts w:hint="default" w:ascii="Times New Roman" w:hAnsi="Times New Roman" w:eastAsia="仿宋_GB2312" w:cs="仿宋_GB2312"/>
                <w:sz w:val="21"/>
              </w:rPr>
              <w:t>无菌水</w:t>
            </w:r>
          </w:p>
        </w:tc>
        <w:tc>
          <w:tcPr>
            <w:tcW w:w="1893" w:type="pct"/>
            <w:tcBorders>
              <w:top w:val="single" w:color="auto" w:sz="4" w:space="0"/>
              <w:left w:val="single" w:color="auto" w:sz="4" w:space="0"/>
              <w:bottom w:val="single" w:color="auto" w:sz="4" w:space="0"/>
              <w:right w:val="single" w:color="auto" w:sz="4" w:space="0"/>
            </w:tcBorders>
            <w:noWrap w:val="0"/>
            <w:vAlign w:val="center"/>
          </w:tcPr>
          <w:p w14:paraId="70EEDC5E">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default" w:ascii="Times New Roman" w:hAnsi="Times New Roman" w:eastAsia="仿宋_GB2312" w:cs="仿宋_GB2312"/>
                <w:sz w:val="21"/>
              </w:rPr>
            </w:pPr>
            <w:r>
              <w:rPr>
                <w:rFonts w:hint="default" w:ascii="Times New Roman" w:hAnsi="Times New Roman" w:eastAsia="仿宋_GB2312" w:cs="仿宋_GB2312"/>
                <w:sz w:val="21"/>
              </w:rPr>
              <w:t>无</w:t>
            </w:r>
          </w:p>
        </w:tc>
      </w:tr>
      <w:tr w14:paraId="05E7BFAF">
        <w:tblPrEx>
          <w:tblCellMar>
            <w:top w:w="44" w:type="dxa"/>
            <w:left w:w="0" w:type="dxa"/>
            <w:bottom w:w="0" w:type="dxa"/>
            <w:right w:w="115" w:type="dxa"/>
          </w:tblCellMar>
        </w:tblPrEx>
        <w:trPr>
          <w:trHeight w:val="397" w:hRule="atLeast"/>
        </w:trPr>
        <w:tc>
          <w:tcPr>
            <w:tcW w:w="2079" w:type="pct"/>
            <w:tcBorders>
              <w:top w:val="single" w:color="auto" w:sz="4" w:space="0"/>
              <w:left w:val="single" w:color="auto" w:sz="4" w:space="0"/>
              <w:bottom w:val="single" w:color="auto" w:sz="4" w:space="0"/>
              <w:right w:val="single" w:color="auto" w:sz="4" w:space="0"/>
            </w:tcBorders>
            <w:noWrap w:val="0"/>
            <w:vAlign w:val="center"/>
          </w:tcPr>
          <w:p w14:paraId="5F2FDA58">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default" w:ascii="Times New Roman" w:hAnsi="Times New Roman" w:eastAsia="仿宋_GB2312" w:cs="仿宋_GB2312"/>
                <w:sz w:val="21"/>
              </w:rPr>
            </w:pPr>
            <w:r>
              <w:rPr>
                <w:rFonts w:hint="default" w:ascii="Times New Roman" w:hAnsi="Times New Roman" w:eastAsia="仿宋_GB2312" w:cs="仿宋_GB2312"/>
                <w:sz w:val="21"/>
              </w:rPr>
              <w:t>DNA提取</w:t>
            </w:r>
          </w:p>
        </w:tc>
        <w:tc>
          <w:tcPr>
            <w:tcW w:w="1026" w:type="pct"/>
            <w:tcBorders>
              <w:top w:val="single" w:color="auto" w:sz="4" w:space="0"/>
              <w:left w:val="single" w:color="auto" w:sz="4" w:space="0"/>
              <w:bottom w:val="single" w:color="auto" w:sz="4" w:space="0"/>
              <w:right w:val="single" w:color="auto" w:sz="4" w:space="0"/>
            </w:tcBorders>
            <w:noWrap w:val="0"/>
            <w:vAlign w:val="center"/>
          </w:tcPr>
          <w:p w14:paraId="5331E56F">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default" w:ascii="Times New Roman" w:hAnsi="Times New Roman" w:eastAsia="仿宋_GB2312" w:cs="仿宋_GB2312"/>
                <w:sz w:val="21"/>
              </w:rPr>
            </w:pPr>
            <w:r>
              <w:rPr>
                <w:rFonts w:hint="default" w:ascii="Times New Roman" w:hAnsi="Times New Roman" w:eastAsia="仿宋_GB2312" w:cs="仿宋_GB2312"/>
                <w:sz w:val="21"/>
              </w:rPr>
              <w:t>无菌水</w:t>
            </w:r>
          </w:p>
        </w:tc>
        <w:tc>
          <w:tcPr>
            <w:tcW w:w="1893" w:type="pct"/>
            <w:tcBorders>
              <w:top w:val="single" w:color="auto" w:sz="4" w:space="0"/>
              <w:left w:val="single" w:color="auto" w:sz="4" w:space="0"/>
              <w:bottom w:val="single" w:color="auto" w:sz="4" w:space="0"/>
              <w:right w:val="single" w:color="auto" w:sz="4" w:space="0"/>
            </w:tcBorders>
            <w:noWrap w:val="0"/>
            <w:vAlign w:val="center"/>
          </w:tcPr>
          <w:p w14:paraId="085022CE">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default" w:ascii="Times New Roman" w:hAnsi="Times New Roman" w:eastAsia="仿宋_GB2312" w:cs="仿宋_GB2312"/>
                <w:sz w:val="21"/>
              </w:rPr>
            </w:pPr>
            <w:r>
              <w:rPr>
                <w:rFonts w:hint="default" w:ascii="Times New Roman" w:hAnsi="Times New Roman" w:eastAsia="仿宋_GB2312" w:cs="仿宋_GB2312"/>
                <w:sz w:val="21"/>
              </w:rPr>
              <w:t>已知物种和相对丰度的混合群落</w:t>
            </w:r>
          </w:p>
        </w:tc>
      </w:tr>
      <w:tr w14:paraId="28B733FD">
        <w:tblPrEx>
          <w:tblCellMar>
            <w:top w:w="44" w:type="dxa"/>
            <w:left w:w="0" w:type="dxa"/>
            <w:bottom w:w="0" w:type="dxa"/>
            <w:right w:w="115" w:type="dxa"/>
          </w:tblCellMar>
        </w:tblPrEx>
        <w:trPr>
          <w:trHeight w:val="397" w:hRule="atLeast"/>
        </w:trPr>
        <w:tc>
          <w:tcPr>
            <w:tcW w:w="2079" w:type="pct"/>
            <w:tcBorders>
              <w:top w:val="single" w:color="auto" w:sz="4" w:space="0"/>
              <w:left w:val="single" w:color="auto" w:sz="4" w:space="0"/>
              <w:bottom w:val="single" w:color="auto" w:sz="4" w:space="0"/>
              <w:right w:val="single" w:color="auto" w:sz="4" w:space="0"/>
            </w:tcBorders>
            <w:noWrap w:val="0"/>
            <w:vAlign w:val="center"/>
          </w:tcPr>
          <w:p w14:paraId="231F4A0A">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default" w:ascii="Times New Roman" w:hAnsi="Times New Roman" w:eastAsia="仿宋_GB2312" w:cs="仿宋_GB2312"/>
                <w:sz w:val="21"/>
              </w:rPr>
            </w:pPr>
            <w:r>
              <w:rPr>
                <w:rFonts w:hint="default" w:ascii="Times New Roman" w:hAnsi="Times New Roman" w:eastAsia="仿宋_GB2312" w:cs="仿宋_GB2312"/>
                <w:sz w:val="21"/>
              </w:rPr>
              <w:t>PCR扩增</w:t>
            </w:r>
          </w:p>
        </w:tc>
        <w:tc>
          <w:tcPr>
            <w:tcW w:w="1026" w:type="pct"/>
            <w:tcBorders>
              <w:top w:val="single" w:color="auto" w:sz="4" w:space="0"/>
              <w:left w:val="single" w:color="auto" w:sz="4" w:space="0"/>
              <w:bottom w:val="single" w:color="auto" w:sz="4" w:space="0"/>
              <w:right w:val="single" w:color="auto" w:sz="4" w:space="0"/>
            </w:tcBorders>
            <w:noWrap w:val="0"/>
            <w:vAlign w:val="center"/>
          </w:tcPr>
          <w:p w14:paraId="60F901A5">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default" w:ascii="Times New Roman" w:hAnsi="Times New Roman" w:eastAsia="仿宋_GB2312" w:cs="仿宋_GB2312"/>
                <w:sz w:val="21"/>
              </w:rPr>
            </w:pPr>
            <w:r>
              <w:rPr>
                <w:rFonts w:hint="default" w:ascii="Times New Roman" w:hAnsi="Times New Roman" w:eastAsia="仿宋_GB2312" w:cs="仿宋_GB2312"/>
                <w:sz w:val="21"/>
              </w:rPr>
              <w:t>无菌水</w:t>
            </w:r>
          </w:p>
        </w:tc>
        <w:tc>
          <w:tcPr>
            <w:tcW w:w="1893" w:type="pct"/>
            <w:tcBorders>
              <w:top w:val="single" w:color="auto" w:sz="4" w:space="0"/>
              <w:left w:val="single" w:color="auto" w:sz="4" w:space="0"/>
              <w:bottom w:val="single" w:color="auto" w:sz="4" w:space="0"/>
              <w:right w:val="single" w:color="auto" w:sz="4" w:space="0"/>
            </w:tcBorders>
            <w:noWrap w:val="0"/>
            <w:vAlign w:val="center"/>
          </w:tcPr>
          <w:p w14:paraId="2F4CCABE">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default" w:ascii="Times New Roman" w:hAnsi="Times New Roman" w:eastAsia="仿宋_GB2312" w:cs="仿宋_GB2312"/>
                <w:sz w:val="21"/>
              </w:rPr>
            </w:pPr>
            <w:r>
              <w:rPr>
                <w:rFonts w:hint="default" w:ascii="Times New Roman" w:hAnsi="Times New Roman" w:eastAsia="仿宋_GB2312" w:cs="仿宋_GB2312"/>
                <w:sz w:val="21"/>
              </w:rPr>
              <w:t>已知物种和相对丰度的环境DNA</w:t>
            </w:r>
          </w:p>
        </w:tc>
      </w:tr>
      <w:tr w14:paraId="6248B160">
        <w:tblPrEx>
          <w:tblCellMar>
            <w:top w:w="44" w:type="dxa"/>
            <w:left w:w="0" w:type="dxa"/>
            <w:bottom w:w="0" w:type="dxa"/>
            <w:right w:w="115" w:type="dxa"/>
          </w:tblCellMar>
        </w:tblPrEx>
        <w:trPr>
          <w:trHeight w:val="397" w:hRule="atLeast"/>
        </w:trPr>
        <w:tc>
          <w:tcPr>
            <w:tcW w:w="2079" w:type="pct"/>
            <w:tcBorders>
              <w:top w:val="single" w:color="auto" w:sz="4" w:space="0"/>
              <w:left w:val="single" w:color="auto" w:sz="4" w:space="0"/>
              <w:bottom w:val="single" w:color="auto" w:sz="4" w:space="0"/>
              <w:right w:val="single" w:color="auto" w:sz="4" w:space="0"/>
            </w:tcBorders>
            <w:noWrap w:val="0"/>
            <w:vAlign w:val="center"/>
          </w:tcPr>
          <w:p w14:paraId="04F2947C">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default" w:ascii="Times New Roman" w:hAnsi="Times New Roman" w:eastAsia="仿宋_GB2312" w:cs="仿宋_GB2312"/>
                <w:sz w:val="21"/>
              </w:rPr>
            </w:pPr>
            <w:r>
              <w:rPr>
                <w:rFonts w:hint="default" w:ascii="Times New Roman" w:hAnsi="Times New Roman" w:eastAsia="仿宋_GB2312" w:cs="仿宋_GB2312"/>
                <w:sz w:val="21"/>
              </w:rPr>
              <w:t>测序</w:t>
            </w:r>
          </w:p>
        </w:tc>
        <w:tc>
          <w:tcPr>
            <w:tcW w:w="1026" w:type="pct"/>
            <w:tcBorders>
              <w:top w:val="single" w:color="auto" w:sz="4" w:space="0"/>
              <w:left w:val="single" w:color="auto" w:sz="4" w:space="0"/>
              <w:bottom w:val="single" w:color="auto" w:sz="4" w:space="0"/>
              <w:right w:val="single" w:color="auto" w:sz="4" w:space="0"/>
            </w:tcBorders>
            <w:noWrap w:val="0"/>
            <w:vAlign w:val="center"/>
          </w:tcPr>
          <w:p w14:paraId="663DFB22">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default" w:ascii="Times New Roman" w:hAnsi="Times New Roman" w:eastAsia="仿宋_GB2312" w:cs="仿宋_GB2312"/>
                <w:sz w:val="21"/>
              </w:rPr>
            </w:pPr>
          </w:p>
        </w:tc>
        <w:tc>
          <w:tcPr>
            <w:tcW w:w="1893" w:type="pct"/>
            <w:tcBorders>
              <w:top w:val="single" w:color="auto" w:sz="4" w:space="0"/>
              <w:left w:val="single" w:color="auto" w:sz="4" w:space="0"/>
              <w:bottom w:val="single" w:color="auto" w:sz="4" w:space="0"/>
              <w:right w:val="single" w:color="auto" w:sz="4" w:space="0"/>
            </w:tcBorders>
            <w:noWrap w:val="0"/>
            <w:vAlign w:val="center"/>
          </w:tcPr>
          <w:p w14:paraId="0BE0A2E5">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default" w:ascii="Times New Roman" w:hAnsi="Times New Roman" w:eastAsia="仿宋_GB2312" w:cs="仿宋_GB2312"/>
                <w:sz w:val="21"/>
              </w:rPr>
            </w:pPr>
            <w:r>
              <w:rPr>
                <w:rFonts w:hint="default" w:ascii="Times New Roman" w:hAnsi="Times New Roman" w:eastAsia="仿宋_GB2312" w:cs="仿宋_GB2312"/>
                <w:sz w:val="21"/>
              </w:rPr>
              <w:t>测序试剂盒中的对照试剂</w:t>
            </w:r>
          </w:p>
        </w:tc>
      </w:tr>
    </w:tbl>
    <w:p w14:paraId="6BA0BDC7">
      <w:pPr>
        <w:keepNext/>
        <w:keepLines/>
        <w:pageBreakBefore w:val="0"/>
        <w:widowControl/>
        <w:numPr>
          <w:ilvl w:val="0"/>
          <w:numId w:val="0"/>
        </w:numPr>
        <w:kinsoku/>
        <w:wordWrap/>
        <w:overflowPunct/>
        <w:topLinePunct w:val="0"/>
        <w:autoSpaceDE/>
        <w:autoSpaceDN/>
        <w:bidi w:val="0"/>
        <w:adjustRightInd/>
        <w:snapToGrid/>
        <w:spacing w:before="0" w:beforeLines="0" w:after="0" w:afterLines="0" w:line="480" w:lineRule="exact"/>
        <w:ind w:left="0" w:firstLine="480" w:firstLineChars="200"/>
        <w:textAlignment w:val="auto"/>
        <w:outlineLvl w:val="9"/>
        <w:rPr>
          <w:rFonts w:hint="default" w:ascii="Times New Roman" w:hAnsi="Times New Roman" w:eastAsia="仿宋" w:cs="Times New Roman"/>
          <w:sz w:val="24"/>
          <w:szCs w:val="24"/>
          <w:lang w:val="en-US" w:eastAsia="zh-CN" w:bidi="ar-SA"/>
        </w:rPr>
      </w:pPr>
      <w:bookmarkStart w:id="81" w:name="_Toc25869"/>
      <w:r>
        <w:rPr>
          <w:rFonts w:hint="eastAsia" w:ascii="Times New Roman" w:hAnsi="Times New Roman" w:eastAsia="仿宋" w:cs="Times New Roman"/>
          <w:sz w:val="24"/>
          <w:szCs w:val="24"/>
          <w:lang w:val="en-US" w:eastAsia="zh-CN" w:bidi="ar-SA"/>
        </w:rPr>
        <w:t>③</w:t>
      </w:r>
      <w:r>
        <w:rPr>
          <w:rFonts w:hint="default" w:ascii="Times New Roman" w:hAnsi="Times New Roman" w:eastAsia="仿宋" w:cs="Times New Roman"/>
          <w:sz w:val="24"/>
          <w:szCs w:val="24"/>
          <w:lang w:val="en-US" w:eastAsia="zh-CN" w:bidi="ar-SA"/>
        </w:rPr>
        <w:t>平行样品</w:t>
      </w:r>
      <w:r>
        <w:rPr>
          <w:rFonts w:hint="eastAsia" w:ascii="Times New Roman" w:hAnsi="Times New Roman" w:eastAsia="仿宋" w:cs="Times New Roman"/>
          <w:sz w:val="24"/>
          <w:szCs w:val="24"/>
          <w:lang w:val="en-US" w:eastAsia="zh-CN" w:bidi="ar-SA"/>
        </w:rPr>
        <w:t>：</w:t>
      </w:r>
      <w:r>
        <w:rPr>
          <w:rFonts w:hint="default" w:ascii="Times New Roman" w:hAnsi="Times New Roman" w:eastAsia="仿宋" w:cs="Times New Roman"/>
          <w:sz w:val="24"/>
          <w:szCs w:val="24"/>
          <w:lang w:val="en-US" w:eastAsia="zh-CN" w:bidi="ar-SA"/>
        </w:rPr>
        <w:t>每个位点应至少设置3个平行样品，可根据实验需求和实验条件适当设置DNA提取、PCR和建库测序平行样品。平行样品的相对丰度取平均值作为位点的相对丰度。</w:t>
      </w:r>
      <w:bookmarkEnd w:id="81"/>
    </w:p>
    <w:p w14:paraId="1F81A176">
      <w:pPr>
        <w:keepNext/>
        <w:keepLines/>
        <w:pageBreakBefore w:val="0"/>
        <w:widowControl/>
        <w:numPr>
          <w:ilvl w:val="0"/>
          <w:numId w:val="0"/>
        </w:numPr>
        <w:kinsoku/>
        <w:wordWrap/>
        <w:overflowPunct/>
        <w:topLinePunct w:val="0"/>
        <w:autoSpaceDE/>
        <w:autoSpaceDN/>
        <w:bidi w:val="0"/>
        <w:adjustRightInd/>
        <w:snapToGrid/>
        <w:spacing w:before="0" w:beforeLines="0" w:after="0" w:afterLines="0" w:line="480" w:lineRule="exact"/>
        <w:ind w:left="0" w:firstLine="480" w:firstLineChars="200"/>
        <w:textAlignment w:val="auto"/>
        <w:outlineLvl w:val="9"/>
        <w:rPr>
          <w:rFonts w:hint="default" w:ascii="Times New Roman" w:hAnsi="Times New Roman" w:eastAsia="仿宋" w:cs="Times New Roman"/>
          <w:sz w:val="24"/>
          <w:szCs w:val="24"/>
          <w:lang w:val="en-US" w:eastAsia="zh-CN" w:bidi="ar-SA"/>
        </w:rPr>
      </w:pPr>
      <w:bookmarkStart w:id="82" w:name="_Toc11761"/>
      <w:r>
        <w:rPr>
          <w:rFonts w:hint="eastAsia" w:ascii="Times New Roman" w:hAnsi="Times New Roman" w:eastAsia="仿宋" w:cs="Times New Roman"/>
          <w:sz w:val="24"/>
          <w:szCs w:val="24"/>
          <w:lang w:val="en-US" w:eastAsia="zh-CN" w:bidi="ar-SA"/>
        </w:rPr>
        <w:t>【条文说明】</w:t>
      </w:r>
      <w:r>
        <w:rPr>
          <w:rFonts w:hint="default" w:ascii="Times New Roman" w:hAnsi="Times New Roman" w:eastAsia="仿宋" w:cs="Times New Roman"/>
          <w:sz w:val="24"/>
          <w:szCs w:val="24"/>
          <w:lang w:val="en-US" w:eastAsia="zh-CN" w:bidi="ar-SA"/>
        </w:rPr>
        <w:t>Piggott等采用eDNA监测濒危鱼类澳洲麦氏鲈（Macquaria australasica）研究发现：相比沉降法，水样过滤后提取eDNA获得的DNA浓度更高且物种检出率更高，同时基于商业试剂盒QIAGEN DNasy试剂盒比传统酚氯仿的效果更高。为了达到0.95的物种检出率，需要进行2</w:t>
      </w:r>
      <w:r>
        <w:rPr>
          <w:rFonts w:hint="eastAsia" w:ascii="Times New Roman" w:hAnsi="Times New Roman" w:eastAsia="仿宋" w:cs="Times New Roman"/>
          <w:sz w:val="24"/>
          <w:szCs w:val="24"/>
          <w:lang w:val="en-US" w:eastAsia="zh-CN" w:bidi="ar-SA"/>
        </w:rPr>
        <w:t>~</w:t>
      </w:r>
      <w:r>
        <w:rPr>
          <w:rFonts w:hint="default" w:ascii="Times New Roman" w:hAnsi="Times New Roman" w:eastAsia="仿宋" w:cs="Times New Roman"/>
          <w:sz w:val="24"/>
          <w:szCs w:val="24"/>
          <w:lang w:val="en-US" w:eastAsia="zh-CN" w:bidi="ar-SA"/>
        </w:rPr>
        <w:t>6个PCR重复</w:t>
      </w:r>
      <w:r>
        <w:rPr>
          <w:rFonts w:hint="eastAsia" w:eastAsia="仿宋" w:cs="Times New Roman"/>
          <w:sz w:val="24"/>
          <w:szCs w:val="24"/>
          <w:lang w:val="en-US" w:eastAsia="zh-CN" w:bidi="ar-SA"/>
        </w:rPr>
        <w:t>，</w:t>
      </w:r>
      <w:r>
        <w:rPr>
          <w:rFonts w:hint="default" w:ascii="Times New Roman" w:hAnsi="Times New Roman" w:eastAsia="仿宋" w:cs="Times New Roman"/>
          <w:sz w:val="24"/>
          <w:szCs w:val="24"/>
          <w:lang w:val="en-US" w:eastAsia="zh-CN" w:bidi="ar-SA"/>
        </w:rPr>
        <w:t>至少设置3个平行样品。</w:t>
      </w:r>
      <w:bookmarkEnd w:id="82"/>
    </w:p>
    <w:p w14:paraId="3210F5FA">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0" w:leftChars="0" w:right="0" w:firstLine="480" w:firstLineChars="200"/>
        <w:jc w:val="both"/>
        <w:textAlignment w:val="auto"/>
        <w:outlineLvl w:val="9"/>
        <w:rPr>
          <w:rFonts w:hint="default" w:ascii="Times New Roman" w:hAnsi="Times New Roman" w:eastAsia="仿宋" w:cs="Times New Roman"/>
          <w:sz w:val="24"/>
          <w:szCs w:val="24"/>
          <w:lang w:val="en-US" w:eastAsia="zh-CN" w:bidi="ar-SA"/>
        </w:rPr>
      </w:pPr>
      <w:bookmarkStart w:id="83" w:name="_Toc133513172"/>
      <w:r>
        <w:rPr>
          <w:rFonts w:hint="default" w:ascii="Times New Roman" w:hAnsi="Times New Roman" w:eastAsia="仿宋" w:cs="Times New Roman"/>
          <w:sz w:val="24"/>
          <w:szCs w:val="24"/>
          <w:lang w:val="en-US" w:eastAsia="zh-CN" w:bidi="ar-SA"/>
        </w:rPr>
        <w:t>质量控制评价指标</w:t>
      </w:r>
      <w:bookmarkEnd w:id="83"/>
      <w:r>
        <w:rPr>
          <w:rFonts w:hint="eastAsia" w:ascii="Times New Roman" w:hAnsi="Times New Roman" w:eastAsia="仿宋" w:cs="Times New Roman"/>
          <w:sz w:val="24"/>
          <w:szCs w:val="24"/>
          <w:lang w:val="en-US" w:eastAsia="zh-CN" w:bidi="ar-SA"/>
        </w:rPr>
        <w:t>：</w:t>
      </w:r>
      <w:r>
        <w:rPr>
          <w:rFonts w:hint="default" w:ascii="Times New Roman" w:hAnsi="Times New Roman" w:eastAsia="仿宋" w:cs="Times New Roman"/>
          <w:sz w:val="24"/>
          <w:szCs w:val="24"/>
          <w:lang w:val="en-US" w:eastAsia="zh-CN" w:bidi="ar-SA"/>
        </w:rPr>
        <w:t>质量控制评价指标包括假阴性率和假阳性率。</w:t>
      </w:r>
      <w:bookmarkStart w:id="84" w:name="_Toc23949"/>
    </w:p>
    <w:p w14:paraId="5DDFA2C5">
      <w:pPr>
        <w:keepNext w:val="0"/>
        <w:keepLines w:val="0"/>
        <w:pageBreakBefore w:val="0"/>
        <w:widowControl w:val="0"/>
        <w:numPr>
          <w:ilvl w:val="0"/>
          <w:numId w:val="7"/>
        </w:numPr>
        <w:kinsoku/>
        <w:wordWrap/>
        <w:overflowPunct/>
        <w:topLinePunct w:val="0"/>
        <w:autoSpaceDE/>
        <w:autoSpaceDN/>
        <w:bidi w:val="0"/>
        <w:adjustRightInd/>
        <w:snapToGrid/>
        <w:spacing w:line="480" w:lineRule="exact"/>
        <w:ind w:right="0" w:rightChars="0" w:firstLine="480" w:firstLineChars="200"/>
        <w:jc w:val="both"/>
        <w:textAlignment w:val="auto"/>
        <w:outlineLvl w:val="9"/>
        <w:rPr>
          <w:rFonts w:hint="default" w:ascii="Times New Roman" w:hAnsi="Times New Roman" w:eastAsia="仿宋" w:cs="Times New Roman"/>
          <w:sz w:val="24"/>
          <w:szCs w:val="24"/>
          <w:lang w:val="en-US" w:eastAsia="zh-CN" w:bidi="ar-SA"/>
        </w:rPr>
      </w:pPr>
      <w:r>
        <w:rPr>
          <w:rFonts w:hint="default" w:ascii="Times New Roman" w:hAnsi="Times New Roman" w:eastAsia="仿宋" w:cs="Times New Roman"/>
          <w:sz w:val="24"/>
          <w:szCs w:val="24"/>
          <w:lang w:val="en-US" w:eastAsia="zh-CN" w:bidi="ar-SA"/>
        </w:rPr>
        <w:t>假阴性率</w:t>
      </w:r>
      <w:r>
        <w:rPr>
          <w:rFonts w:hint="eastAsia" w:ascii="Times New Roman" w:hAnsi="Times New Roman" w:eastAsia="仿宋" w:cs="Times New Roman"/>
          <w:sz w:val="24"/>
          <w:szCs w:val="24"/>
          <w:lang w:val="en-US" w:eastAsia="zh-CN" w:bidi="ar-SA"/>
        </w:rPr>
        <w:t>：</w:t>
      </w:r>
      <w:r>
        <w:rPr>
          <w:rFonts w:hint="default" w:ascii="Times New Roman" w:hAnsi="Times New Roman" w:eastAsia="仿宋" w:cs="Times New Roman"/>
          <w:sz w:val="24"/>
          <w:szCs w:val="24"/>
          <w:lang w:val="en-US" w:eastAsia="zh-CN" w:bidi="ar-SA"/>
        </w:rPr>
        <w:t>使用阳性质控样品评估监测的假阴性率。重复测定6次，计算测量结果中未包含标准样品物种的出现概率，即假阴性率（FN）。假阴性率不应超过10%。</w:t>
      </w:r>
      <w:bookmarkEnd w:id="84"/>
    </w:p>
    <w:p w14:paraId="4EBC0CF2">
      <w:pPr>
        <w:keepNext w:val="0"/>
        <w:keepLines w:val="0"/>
        <w:pageBreakBefore w:val="0"/>
        <w:widowControl w:val="0"/>
        <w:kinsoku/>
        <w:wordWrap/>
        <w:overflowPunct/>
        <w:topLinePunct w:val="0"/>
        <w:autoSpaceDE/>
        <w:autoSpaceDN/>
        <w:bidi w:val="0"/>
        <w:adjustRightInd/>
        <w:snapToGrid/>
        <w:spacing w:line="240" w:lineRule="auto"/>
        <w:ind w:right="0" w:firstLine="480" w:firstLineChars="200"/>
        <w:jc w:val="right"/>
        <w:textAlignment w:val="auto"/>
        <w:rPr>
          <w:rFonts w:hint="eastAsia" w:ascii="Times New Roman" w:hAnsi="Times New Roman" w:eastAsia="宋体" w:cs="Times New Roman"/>
          <w:sz w:val="22"/>
          <w:lang w:val="en-US" w:eastAsia="zh-CN"/>
        </w:rPr>
      </w:pPr>
      <m:oMath>
        <m:r>
          <m:rPr/>
          <w:rPr>
            <w:rFonts w:hint="default" w:ascii="Cambria Math" w:hAnsi="Cambria Math" w:cs="宋体"/>
            <w:lang w:val="en-US" w:eastAsia="zh-CN"/>
          </w:rPr>
          <m:t>FN</m:t>
        </m:r>
        <m:r>
          <m:rPr>
            <m:sty m:val="p"/>
          </m:rPr>
          <w:rPr>
            <w:rFonts w:hint="default" w:ascii="Cambria Math" w:hAnsi="Cambria Math" w:cs="宋体"/>
            <w:lang w:val="en-US" w:eastAsia="zh-CN"/>
          </w:rPr>
          <m:t>=</m:t>
        </m:r>
        <m:f>
          <m:fPr>
            <m:ctrlPr>
              <w:rPr>
                <w:rFonts w:hint="default" w:ascii="Cambria Math" w:hAnsi="Cambria Math" w:cs="宋体"/>
                <w:i/>
              </w:rPr>
            </m:ctrlPr>
          </m:fPr>
          <m:num>
            <m:sSub>
              <m:sSubPr>
                <m:ctrlPr>
                  <w:rPr>
                    <w:rFonts w:hint="default" w:ascii="Cambria Math" w:hAnsi="Cambria Math" w:cs="宋体"/>
                    <w:i/>
                  </w:rPr>
                </m:ctrlPr>
              </m:sSubPr>
              <m:e>
                <m:r>
                  <m:rPr/>
                  <w:rPr>
                    <w:rFonts w:hint="default" w:ascii="Cambria Math" w:hAnsi="Cambria Math" w:cs="宋体"/>
                    <w:lang w:val="en-US" w:eastAsia="zh-CN"/>
                  </w:rPr>
                  <m:t>Q</m:t>
                </m:r>
                <m:ctrlPr>
                  <w:rPr>
                    <w:rFonts w:hint="default" w:ascii="Cambria Math" w:hAnsi="Cambria Math" w:cs="宋体"/>
                    <w:i/>
                  </w:rPr>
                </m:ctrlPr>
              </m:e>
              <m:sub>
                <m:r>
                  <m:rPr/>
                  <w:rPr>
                    <w:rFonts w:hint="default" w:ascii="Cambria Math" w:hAnsi="Cambria Math" w:cs="宋体"/>
                    <w:lang w:val="en-US" w:eastAsia="zh-CN"/>
                  </w:rPr>
                  <m:t>1</m:t>
                </m:r>
                <m:ctrlPr>
                  <w:rPr>
                    <w:rFonts w:hint="default" w:ascii="Cambria Math" w:hAnsi="Cambria Math" w:cs="宋体"/>
                    <w:i/>
                  </w:rPr>
                </m:ctrlPr>
              </m:sub>
            </m:sSub>
            <m:ctrlPr>
              <w:rPr>
                <w:rFonts w:hint="default" w:ascii="Cambria Math" w:hAnsi="Cambria Math" w:cs="宋体"/>
                <w:i/>
              </w:rPr>
            </m:ctrlPr>
          </m:num>
          <m:den>
            <m:r>
              <m:rPr/>
              <w:rPr>
                <w:rFonts w:hint="default" w:ascii="Cambria Math" w:hAnsi="Cambria Math" w:cs="宋体"/>
                <w:lang w:val="en-US" w:eastAsia="zh-CN"/>
              </w:rPr>
              <m:t>Q</m:t>
            </m:r>
            <m:ctrlPr>
              <w:rPr>
                <w:rFonts w:hint="default" w:ascii="Cambria Math" w:hAnsi="Cambria Math" w:cs="宋体"/>
                <w:i/>
              </w:rPr>
            </m:ctrlPr>
          </m:den>
        </m:f>
      </m:oMath>
      <w:r>
        <w:rPr>
          <w:rFonts w:hint="eastAsia" w:ascii="Times New Roman" w:hAnsi="Times New Roman" w:eastAsia="宋体" w:cs="Times New Roman"/>
          <w:sz w:val="22"/>
          <w:lang w:val="en-US" w:eastAsia="zh-CN"/>
        </w:rPr>
        <w:t xml:space="preserve">                                        (1)</w:t>
      </w:r>
    </w:p>
    <w:p w14:paraId="6155D8D0">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480" w:firstLineChars="200"/>
        <w:jc w:val="both"/>
        <w:textAlignment w:val="auto"/>
        <w:outlineLvl w:val="9"/>
        <w:rPr>
          <w:rFonts w:hint="eastAsia" w:ascii="Times New Roman" w:hAnsi="Times New Roman" w:eastAsia="仿宋" w:cs="Times New Roman"/>
          <w:sz w:val="24"/>
          <w:szCs w:val="24"/>
          <w:lang w:val="en-US" w:eastAsia="zh-CN" w:bidi="ar-SA"/>
        </w:rPr>
      </w:pPr>
      <w:r>
        <w:rPr>
          <w:rFonts w:hint="eastAsia" w:ascii="Times New Roman" w:hAnsi="Times New Roman" w:eastAsia="仿宋" w:cs="Times New Roman"/>
          <w:sz w:val="24"/>
          <w:szCs w:val="24"/>
          <w:lang w:val="en-US" w:eastAsia="zh-CN" w:bidi="ar-SA"/>
        </w:rPr>
        <w:t>式中：</w:t>
      </w:r>
    </w:p>
    <w:p w14:paraId="5A0B6725">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480" w:firstLineChars="200"/>
        <w:jc w:val="both"/>
        <w:textAlignment w:val="auto"/>
        <w:outlineLvl w:val="9"/>
        <w:rPr>
          <w:rFonts w:hint="eastAsia" w:ascii="Times New Roman" w:hAnsi="Times New Roman" w:eastAsia="仿宋" w:cs="Times New Roman"/>
          <w:sz w:val="24"/>
          <w:szCs w:val="24"/>
          <w:lang w:val="en-US" w:eastAsia="zh-CN" w:bidi="ar-SA"/>
        </w:rPr>
      </w:pPr>
      <w:r>
        <w:rPr>
          <w:rFonts w:hint="eastAsia" w:ascii="Times New Roman" w:hAnsi="Times New Roman" w:eastAsia="仿宋" w:cs="Times New Roman"/>
          <w:i/>
          <w:iCs/>
          <w:sz w:val="24"/>
          <w:szCs w:val="24"/>
          <w:lang w:val="en-US" w:eastAsia="zh-CN" w:bidi="ar-SA"/>
        </w:rPr>
        <w:t>FN</w:t>
      </w:r>
      <w:r>
        <w:rPr>
          <w:rFonts w:hint="eastAsia" w:ascii="Times New Roman" w:hAnsi="Times New Roman" w:eastAsia="仿宋" w:cs="Times New Roman"/>
          <w:sz w:val="24"/>
          <w:szCs w:val="24"/>
          <w:lang w:val="en-US" w:eastAsia="zh-CN" w:bidi="ar-SA"/>
        </w:rPr>
        <w:t>——假阴性率；</w:t>
      </w:r>
    </w:p>
    <w:p w14:paraId="3910B90E">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480" w:firstLineChars="200"/>
        <w:jc w:val="both"/>
        <w:textAlignment w:val="auto"/>
        <w:outlineLvl w:val="9"/>
        <w:rPr>
          <w:rFonts w:hint="eastAsia" w:ascii="Times New Roman" w:hAnsi="Times New Roman" w:eastAsia="仿宋" w:cs="Times New Roman"/>
          <w:sz w:val="24"/>
          <w:szCs w:val="24"/>
          <w:lang w:val="en-US" w:eastAsia="zh-CN" w:bidi="ar-SA"/>
        </w:rPr>
      </w:pPr>
      <w:r>
        <w:rPr>
          <w:rFonts w:hint="eastAsia" w:ascii="Times New Roman" w:hAnsi="Times New Roman" w:eastAsia="仿宋" w:cs="Times New Roman"/>
          <w:i/>
          <w:iCs/>
          <w:sz w:val="24"/>
          <w:szCs w:val="24"/>
          <w:lang w:val="en-US" w:eastAsia="zh-CN" w:bidi="ar-SA"/>
        </w:rPr>
        <w:t>Q</w:t>
      </w:r>
      <w:r>
        <w:rPr>
          <w:rFonts w:hint="eastAsia" w:ascii="Times New Roman" w:hAnsi="Times New Roman" w:eastAsia="仿宋" w:cs="Times New Roman"/>
          <w:i/>
          <w:iCs/>
          <w:sz w:val="24"/>
          <w:szCs w:val="24"/>
          <w:vertAlign w:val="subscript"/>
          <w:lang w:val="en-US" w:eastAsia="zh-CN" w:bidi="ar-SA"/>
        </w:rPr>
        <w:t>1</w:t>
      </w:r>
      <w:r>
        <w:rPr>
          <w:rFonts w:hint="eastAsia" w:ascii="Times New Roman" w:hAnsi="Times New Roman" w:eastAsia="仿宋" w:cs="Times New Roman"/>
          <w:sz w:val="24"/>
          <w:szCs w:val="24"/>
          <w:lang w:val="en-US" w:eastAsia="zh-CN" w:bidi="ar-SA"/>
        </w:rPr>
        <w:t>——标准样品中未被测出的物种数目；</w:t>
      </w:r>
    </w:p>
    <w:p w14:paraId="1E07397A">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480" w:firstLineChars="200"/>
        <w:jc w:val="both"/>
        <w:textAlignment w:val="auto"/>
        <w:outlineLvl w:val="9"/>
        <w:rPr>
          <w:rFonts w:hint="default" w:ascii="Times New Roman" w:hAnsi="Times New Roman" w:eastAsia="仿宋" w:cs="Times New Roman"/>
          <w:sz w:val="24"/>
          <w:szCs w:val="24"/>
          <w:lang w:val="en-US" w:eastAsia="zh-CN" w:bidi="ar-SA"/>
        </w:rPr>
      </w:pPr>
      <w:r>
        <w:rPr>
          <w:rFonts w:hint="eastAsia" w:ascii="Times New Roman" w:hAnsi="Times New Roman" w:eastAsia="仿宋" w:cs="Times New Roman"/>
          <w:i/>
          <w:iCs/>
          <w:sz w:val="24"/>
          <w:szCs w:val="24"/>
          <w:lang w:val="en-US" w:eastAsia="zh-CN" w:bidi="ar-SA"/>
        </w:rPr>
        <w:t>Q</w:t>
      </w:r>
      <w:r>
        <w:rPr>
          <w:rFonts w:hint="eastAsia" w:ascii="Times New Roman" w:hAnsi="Times New Roman" w:eastAsia="仿宋" w:cs="Times New Roman"/>
          <w:sz w:val="24"/>
          <w:szCs w:val="24"/>
          <w:lang w:val="en-US" w:eastAsia="zh-CN" w:bidi="ar-SA"/>
        </w:rPr>
        <w:t>——标准样品中的实际物种数目。</w:t>
      </w:r>
      <w:r>
        <w:rPr>
          <w:rFonts w:hint="default" w:ascii="Times New Roman" w:hAnsi="Times New Roman" w:eastAsia="仿宋" w:cs="Times New Roman"/>
          <w:sz w:val="24"/>
          <w:szCs w:val="24"/>
          <w:lang w:val="en-US" w:eastAsia="zh-CN" w:bidi="ar-SA"/>
        </w:rPr>
        <w:tab/>
      </w:r>
    </w:p>
    <w:p w14:paraId="36D7EBCF">
      <w:pPr>
        <w:keepNext/>
        <w:keepLines/>
        <w:pageBreakBefore w:val="0"/>
        <w:widowControl/>
        <w:numPr>
          <w:ilvl w:val="0"/>
          <w:numId w:val="0"/>
        </w:numPr>
        <w:kinsoku/>
        <w:wordWrap/>
        <w:overflowPunct/>
        <w:topLinePunct w:val="0"/>
        <w:autoSpaceDE/>
        <w:autoSpaceDN/>
        <w:bidi w:val="0"/>
        <w:adjustRightInd/>
        <w:snapToGrid/>
        <w:spacing w:before="0" w:beforeLines="0" w:after="0" w:afterLines="0" w:line="480" w:lineRule="exact"/>
        <w:ind w:left="0" w:firstLine="480" w:firstLineChars="200"/>
        <w:textAlignment w:val="auto"/>
        <w:outlineLvl w:val="9"/>
        <w:rPr>
          <w:rFonts w:hint="default" w:ascii="Times New Roman" w:hAnsi="Times New Roman" w:eastAsia="仿宋" w:cs="Times New Roman"/>
          <w:sz w:val="24"/>
          <w:szCs w:val="24"/>
          <w:lang w:val="en-US" w:eastAsia="zh-CN" w:bidi="ar-SA"/>
        </w:rPr>
      </w:pPr>
      <w:bookmarkStart w:id="85" w:name="_Toc7059"/>
      <w:r>
        <w:rPr>
          <w:rFonts w:hint="eastAsia" w:ascii="Times New Roman" w:hAnsi="Times New Roman" w:eastAsia="仿宋" w:cs="Times New Roman"/>
          <w:sz w:val="24"/>
          <w:szCs w:val="24"/>
          <w:lang w:val="en-US" w:eastAsia="zh-CN" w:bidi="ar-SA"/>
        </w:rPr>
        <w:t>2）</w:t>
      </w:r>
      <w:r>
        <w:rPr>
          <w:rFonts w:hint="default" w:ascii="Times New Roman" w:hAnsi="Times New Roman" w:eastAsia="仿宋" w:cs="Times New Roman"/>
          <w:sz w:val="24"/>
          <w:szCs w:val="24"/>
          <w:lang w:val="en-US" w:eastAsia="zh-CN" w:bidi="ar-SA"/>
        </w:rPr>
        <w:t>假阳性率</w:t>
      </w:r>
      <w:r>
        <w:rPr>
          <w:rFonts w:hint="eastAsia" w:ascii="Times New Roman" w:hAnsi="Times New Roman" w:eastAsia="仿宋" w:cs="Times New Roman"/>
          <w:sz w:val="24"/>
          <w:szCs w:val="24"/>
          <w:lang w:val="en-US" w:eastAsia="zh-CN" w:bidi="ar-SA"/>
        </w:rPr>
        <w:t>：</w:t>
      </w:r>
      <w:r>
        <w:rPr>
          <w:rFonts w:hint="default" w:ascii="Times New Roman" w:hAnsi="Times New Roman" w:eastAsia="仿宋" w:cs="Times New Roman"/>
          <w:sz w:val="24"/>
          <w:szCs w:val="24"/>
          <w:lang w:val="en-US" w:eastAsia="zh-CN" w:bidi="ar-SA"/>
        </w:rPr>
        <w:t>使用阳性质控样品评估监测的假阳性率。重复测定6次，计算测量结果的中标准样品中未包含物种的出现概率，即假阳性率（FP）。假阳性率不应超过10%。</w:t>
      </w:r>
      <w:bookmarkEnd w:id="85"/>
    </w:p>
    <w:p w14:paraId="49727D05">
      <w:pPr>
        <w:keepNext/>
        <w:keepLines/>
        <w:pageBreakBefore w:val="0"/>
        <w:widowControl/>
        <w:numPr>
          <w:ilvl w:val="0"/>
          <w:numId w:val="0"/>
        </w:numPr>
        <w:kinsoku/>
        <w:wordWrap/>
        <w:overflowPunct/>
        <w:topLinePunct w:val="0"/>
        <w:autoSpaceDE/>
        <w:autoSpaceDN/>
        <w:bidi w:val="0"/>
        <w:adjustRightInd/>
        <w:snapToGrid/>
        <w:spacing w:before="0" w:beforeLines="0" w:after="0" w:afterLines="0" w:line="480" w:lineRule="exact"/>
        <w:ind w:left="0" w:firstLine="480" w:firstLineChars="200"/>
        <w:textAlignment w:val="auto"/>
        <w:outlineLvl w:val="9"/>
        <w:rPr>
          <w:rFonts w:hint="default" w:ascii="Times New Roman" w:hAnsi="Times New Roman" w:eastAsia="仿宋" w:cs="Times New Roman"/>
          <w:sz w:val="24"/>
          <w:szCs w:val="24"/>
          <w:lang w:val="en-US" w:eastAsia="zh-CN" w:bidi="ar-SA"/>
        </w:rPr>
      </w:pPr>
      <w:r>
        <w:rPr>
          <w:rFonts w:hint="default" w:ascii="Times New Roman" w:hAnsi="Times New Roman" w:eastAsia="仿宋" w:cs="Times New Roman"/>
          <w:sz w:val="24"/>
          <w:szCs w:val="24"/>
          <w:lang w:val="en-US" w:eastAsia="zh-CN" w:bidi="ar-SA"/>
        </w:rPr>
        <w:t>式中：</w:t>
      </w:r>
    </w:p>
    <w:p w14:paraId="4A94AFEF">
      <w:pPr>
        <w:keepNext/>
        <w:keepLines/>
        <w:pageBreakBefore w:val="0"/>
        <w:widowControl/>
        <w:numPr>
          <w:ilvl w:val="0"/>
          <w:numId w:val="0"/>
        </w:numPr>
        <w:kinsoku/>
        <w:wordWrap/>
        <w:overflowPunct/>
        <w:topLinePunct w:val="0"/>
        <w:autoSpaceDE/>
        <w:autoSpaceDN/>
        <w:bidi w:val="0"/>
        <w:adjustRightInd/>
        <w:snapToGrid/>
        <w:spacing w:before="0" w:beforeLines="0" w:after="0" w:afterLines="0" w:line="480" w:lineRule="exact"/>
        <w:ind w:left="0" w:firstLine="480" w:firstLineChars="200"/>
        <w:textAlignment w:val="auto"/>
        <w:outlineLvl w:val="9"/>
        <w:rPr>
          <w:rFonts w:hint="default" w:ascii="Times New Roman" w:hAnsi="Times New Roman" w:eastAsia="仿宋" w:cs="Times New Roman"/>
          <w:sz w:val="24"/>
          <w:szCs w:val="24"/>
          <w:lang w:val="en-US" w:eastAsia="zh-CN" w:bidi="ar-SA"/>
        </w:rPr>
      </w:pPr>
      <w:r>
        <w:rPr>
          <w:rFonts w:hint="default" w:ascii="Times New Roman" w:hAnsi="Times New Roman" w:eastAsia="仿宋" w:cs="Times New Roman"/>
          <w:i/>
          <w:iCs/>
          <w:sz w:val="24"/>
          <w:szCs w:val="24"/>
          <w:lang w:val="en-US" w:eastAsia="zh-CN" w:bidi="ar-SA"/>
        </w:rPr>
        <w:t>FP</w:t>
      </w:r>
      <w:r>
        <w:rPr>
          <w:rFonts w:hint="default" w:ascii="Times New Roman" w:hAnsi="Times New Roman" w:eastAsia="仿宋" w:cs="Times New Roman"/>
          <w:sz w:val="24"/>
          <w:szCs w:val="24"/>
          <w:lang w:val="en-US" w:eastAsia="zh-CN" w:bidi="ar-SA"/>
        </w:rPr>
        <w:t>——假阳性率；</w:t>
      </w:r>
    </w:p>
    <w:p w14:paraId="7574BC7B">
      <w:pPr>
        <w:keepNext/>
        <w:keepLines/>
        <w:pageBreakBefore w:val="0"/>
        <w:widowControl/>
        <w:numPr>
          <w:ilvl w:val="0"/>
          <w:numId w:val="0"/>
        </w:numPr>
        <w:kinsoku/>
        <w:wordWrap/>
        <w:overflowPunct/>
        <w:topLinePunct w:val="0"/>
        <w:autoSpaceDE/>
        <w:autoSpaceDN/>
        <w:bidi w:val="0"/>
        <w:adjustRightInd/>
        <w:snapToGrid/>
        <w:spacing w:before="0" w:beforeLines="0" w:after="0" w:afterLines="0" w:line="480" w:lineRule="exact"/>
        <w:ind w:left="0" w:firstLine="480" w:firstLineChars="200"/>
        <w:textAlignment w:val="auto"/>
        <w:outlineLvl w:val="9"/>
        <w:rPr>
          <w:rFonts w:hint="default" w:ascii="Times New Roman" w:hAnsi="Times New Roman" w:eastAsia="仿宋" w:cs="Times New Roman"/>
          <w:sz w:val="24"/>
          <w:szCs w:val="24"/>
          <w:lang w:val="en-US" w:eastAsia="zh-CN" w:bidi="ar-SA"/>
        </w:rPr>
      </w:pPr>
      <w:r>
        <w:rPr>
          <w:rFonts w:hint="default" w:ascii="Times New Roman" w:hAnsi="Times New Roman" w:eastAsia="仿宋" w:cs="Times New Roman"/>
          <w:i/>
          <w:iCs/>
          <w:sz w:val="24"/>
          <w:szCs w:val="24"/>
          <w:lang w:val="en-US" w:eastAsia="zh-CN" w:bidi="ar-SA"/>
        </w:rPr>
        <w:t>Q</w:t>
      </w:r>
      <w:r>
        <w:rPr>
          <w:rFonts w:hint="default" w:ascii="Times New Roman" w:hAnsi="Times New Roman" w:eastAsia="仿宋" w:cs="Times New Roman"/>
          <w:i/>
          <w:iCs/>
          <w:sz w:val="24"/>
          <w:szCs w:val="24"/>
          <w:vertAlign w:val="subscript"/>
          <w:lang w:val="en-US" w:eastAsia="zh-CN" w:bidi="ar-SA"/>
        </w:rPr>
        <w:t>2</w:t>
      </w:r>
      <w:r>
        <w:rPr>
          <w:rFonts w:hint="default" w:ascii="Times New Roman" w:hAnsi="Times New Roman" w:eastAsia="仿宋" w:cs="Times New Roman"/>
          <w:sz w:val="24"/>
          <w:szCs w:val="24"/>
          <w:lang w:val="en-US" w:eastAsia="zh-CN" w:bidi="ar-SA"/>
        </w:rPr>
        <w:t>——未在标准样品物种清单的物种数目；</w:t>
      </w:r>
    </w:p>
    <w:p w14:paraId="5107996E">
      <w:pPr>
        <w:keepNext/>
        <w:keepLines/>
        <w:pageBreakBefore w:val="0"/>
        <w:widowControl/>
        <w:numPr>
          <w:ilvl w:val="0"/>
          <w:numId w:val="0"/>
        </w:numPr>
        <w:kinsoku/>
        <w:wordWrap/>
        <w:overflowPunct/>
        <w:topLinePunct w:val="0"/>
        <w:autoSpaceDE/>
        <w:autoSpaceDN/>
        <w:bidi w:val="0"/>
        <w:adjustRightInd/>
        <w:snapToGrid/>
        <w:spacing w:before="0" w:beforeLines="0" w:after="0" w:afterLines="0" w:line="480" w:lineRule="exact"/>
        <w:ind w:left="0" w:firstLine="480" w:firstLineChars="200"/>
        <w:textAlignment w:val="auto"/>
        <w:outlineLvl w:val="9"/>
        <w:rPr>
          <w:rFonts w:hint="default" w:ascii="Times New Roman" w:hAnsi="Times New Roman" w:eastAsia="仿宋" w:cs="Times New Roman"/>
          <w:sz w:val="24"/>
          <w:szCs w:val="24"/>
          <w:lang w:val="en-US" w:eastAsia="zh-CN" w:bidi="ar-SA"/>
        </w:rPr>
      </w:pPr>
      <w:r>
        <w:rPr>
          <w:rFonts w:hint="default" w:ascii="Times New Roman" w:hAnsi="Times New Roman" w:eastAsia="仿宋" w:cs="Times New Roman"/>
          <w:i/>
          <w:iCs/>
          <w:sz w:val="24"/>
          <w:szCs w:val="24"/>
          <w:lang w:val="en-US" w:eastAsia="zh-CN" w:bidi="ar-SA"/>
        </w:rPr>
        <w:t>Q</w:t>
      </w:r>
      <w:r>
        <w:rPr>
          <w:rFonts w:hint="default" w:ascii="Times New Roman" w:hAnsi="Times New Roman" w:eastAsia="仿宋" w:cs="Times New Roman"/>
          <w:sz w:val="24"/>
          <w:szCs w:val="24"/>
          <w:lang w:val="en-US" w:eastAsia="zh-CN" w:bidi="ar-SA"/>
        </w:rPr>
        <w:t>——标准样品中的实际物种数目。</w:t>
      </w:r>
    </w:p>
    <w:p w14:paraId="7D3994E3">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jc w:val="both"/>
        <w:textAlignment w:val="auto"/>
        <w:outlineLvl w:val="0"/>
        <w:rPr>
          <w:rFonts w:hint="eastAsia" w:ascii="Times New Roman" w:hAnsi="Times New Roman" w:eastAsia="仿宋_GB2312" w:cs="Times New Roman"/>
          <w:b/>
          <w:bCs/>
          <w:color w:val="auto"/>
          <w:lang w:val="en-US" w:eastAsia="zh-CN"/>
        </w:rPr>
      </w:pPr>
      <w:bookmarkStart w:id="86" w:name="_Toc1199"/>
      <w:bookmarkStart w:id="87" w:name="_Toc15099"/>
      <w:r>
        <w:rPr>
          <w:rFonts w:hint="eastAsia" w:ascii="Times New Roman" w:hAnsi="Times New Roman" w:eastAsia="仿宋_GB2312" w:cs="Times New Roman"/>
          <w:b/>
          <w:bCs/>
          <w:color w:val="auto"/>
          <w:lang w:val="en-US" w:eastAsia="zh-CN"/>
        </w:rPr>
        <w:t>6、本标准的相关建议</w:t>
      </w:r>
      <w:bookmarkEnd w:id="86"/>
      <w:bookmarkEnd w:id="87"/>
    </w:p>
    <w:p w14:paraId="2B866074">
      <w:pPr>
        <w:pageBreakBefore w:val="0"/>
        <w:kinsoku/>
        <w:wordWrap/>
        <w:overflowPunct/>
        <w:topLinePunct w:val="0"/>
        <w:autoSpaceDE/>
        <w:autoSpaceDN/>
        <w:bidi w:val="0"/>
        <w:adjustRightInd w:val="0"/>
        <w:snapToGrid/>
        <w:spacing w:line="480" w:lineRule="exact"/>
        <w:ind w:firstLine="560"/>
        <w:textAlignment w:val="auto"/>
        <w:rPr>
          <w:rFonts w:ascii="Times New Roman" w:hAnsi="Times New Roman" w:eastAsia="仿宋" w:cs="Times New Roman"/>
          <w:sz w:val="24"/>
          <w:szCs w:val="24"/>
          <w:lang w:bidi="ar-SA"/>
        </w:rPr>
      </w:pPr>
      <w:r>
        <w:rPr>
          <w:rFonts w:ascii="Times New Roman" w:hAnsi="Times New Roman" w:eastAsia="仿宋" w:cs="Times New Roman"/>
          <w:sz w:val="24"/>
          <w:szCs w:val="24"/>
          <w:lang w:bidi="ar-SA"/>
        </w:rPr>
        <w:t>鉴于本文件为首次制定，在实施过程中可采用先试行一段时间，根据试行情况及反馈信息，进行进一步的修订完善，力争最终形成适用的水生态监测技术规范文件，更好地满足我省湖库水生态监测需求。此外，随着经济的发展和技术的进步，以及对环保技术研究的不断深入和实践经验的积累，根据环境管理的实际需要，指南的内容应不断得到完善、拓展、深化和更新，以适应环境标准制修订工作的要求。因此本文件发布后，建议建立相关信息的反馈机制，适时解决指南应用中的问题，及时了解和总结水生态修复技术的新动态，推动标准的贯彻执行。</w:t>
      </w:r>
    </w:p>
    <w:p w14:paraId="29B8DA1C">
      <w:pPr>
        <w:pageBreakBefore w:val="0"/>
        <w:widowControl w:val="0"/>
        <w:kinsoku/>
        <w:wordWrap/>
        <w:overflowPunct/>
        <w:topLinePunct w:val="0"/>
        <w:autoSpaceDE/>
        <w:autoSpaceDN/>
        <w:bidi w:val="0"/>
        <w:adjustRightInd w:val="0"/>
        <w:spacing w:line="480" w:lineRule="exact"/>
        <w:ind w:firstLine="480" w:firstLineChars="200"/>
        <w:jc w:val="both"/>
        <w:textAlignment w:val="auto"/>
        <w:rPr>
          <w:rFonts w:hint="default" w:eastAsia="仿宋" w:cs="Times New Roman"/>
          <w:sz w:val="24"/>
          <w:szCs w:val="24"/>
          <w:highlight w:val="none"/>
          <w:lang w:val="en-US" w:eastAsia="zh-CN" w:bidi="ar-SA"/>
        </w:rPr>
      </w:pPr>
      <w:r>
        <w:rPr>
          <w:rFonts w:ascii="Times New Roman" w:hAnsi="Times New Roman" w:eastAsia="仿宋" w:cs="Times New Roman"/>
          <w:sz w:val="24"/>
          <w:szCs w:val="24"/>
          <w:lang w:bidi="ar-SA"/>
        </w:rPr>
        <w:t>本技术规范建议作为推荐性地方标准发布。</w:t>
      </w:r>
    </w:p>
    <w:p w14:paraId="4741F62E">
      <w:pPr>
        <w:pStyle w:val="3"/>
        <w:keepNext/>
        <w:keepLines/>
        <w:pageBreakBefore w:val="0"/>
        <w:widowControl/>
        <w:numPr>
          <w:ilvl w:val="0"/>
          <w:numId w:val="0"/>
        </w:numPr>
        <w:kinsoku/>
        <w:wordWrap/>
        <w:overflowPunct/>
        <w:topLinePunct w:val="0"/>
        <w:autoSpaceDE/>
        <w:autoSpaceDN/>
        <w:bidi w:val="0"/>
        <w:adjustRightInd/>
        <w:snapToGrid/>
        <w:spacing w:before="157" w:beforeLines="50" w:after="157" w:afterLines="50" w:line="360" w:lineRule="auto"/>
        <w:ind w:left="0" w:firstLine="480" w:firstLineChars="200"/>
        <w:textAlignment w:val="auto"/>
        <w:rPr>
          <w:rFonts w:hint="eastAsia" w:ascii="Times New Roman" w:hAnsi="Times New Roman" w:eastAsia="仿宋" w:cs="Times New Roman"/>
          <w:sz w:val="24"/>
          <w:szCs w:val="24"/>
          <w:lang w:val="en-US" w:eastAsia="zh-CN" w:bidi="ar-SA"/>
        </w:rPr>
      </w:pPr>
      <w:r>
        <w:rPr>
          <w:rFonts w:hint="default" w:ascii="Times New Roman" w:hAnsi="Times New Roman" w:eastAsia="仿宋" w:cs="Times New Roman"/>
          <w:sz w:val="24"/>
          <w:szCs w:val="24"/>
          <w:lang w:val="en-US" w:eastAsia="zh-CN" w:bidi="ar-SA"/>
        </w:rPr>
        <w:tab/>
      </w:r>
    </w:p>
    <w:p w14:paraId="08834D84">
      <w:pPr>
        <w:numPr>
          <w:ilvl w:val="0"/>
          <w:numId w:val="0"/>
        </w:numPr>
        <w:ind w:leftChars="0"/>
        <w:jc w:val="both"/>
        <w:rPr>
          <w:rFonts w:hint="default" w:eastAsia="仿宋_GB2312" w:cs="Times New Roman"/>
          <w:lang w:val="en-US" w:eastAsia="zh-CN"/>
        </w:rPr>
      </w:pPr>
    </w:p>
    <w:sectPr>
      <w:footerReference r:id="rId6" w:type="default"/>
      <w:pgSz w:w="11906" w:h="16838"/>
      <w:pgMar w:top="1440" w:right="1800" w:bottom="1440" w:left="1800"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8"/>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auto"/>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F15F04">
    <w:pPr>
      <w:pStyle w:val="5"/>
      <w:ind w:firstLine="420"/>
      <w:jc w:val="center"/>
      <w:rPr>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BFC53C">
                          <w:pPr>
                            <w:pStyle w:val="5"/>
                            <w:ind w:firstLine="420"/>
                            <w:jc w:val="center"/>
                          </w:pP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eastAsia="zh-CN"/>
                            </w:rPr>
                            <w:t>10</w:t>
                          </w:r>
                          <w:r>
                            <w:rPr>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50BFC53C">
                    <w:pPr>
                      <w:pStyle w:val="5"/>
                      <w:ind w:firstLine="420"/>
                      <w:jc w:val="center"/>
                    </w:pP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eastAsia="zh-CN"/>
                      </w:rPr>
                      <w:t>10</w:t>
                    </w:r>
                    <w:r>
                      <w:rPr>
                        <w:sz w:val="21"/>
                        <w:szCs w:val="21"/>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196248">
    <w:pPr>
      <w:pStyle w:val="5"/>
      <w:ind w:firstLine="420"/>
      <w:jc w:val="center"/>
      <w:rPr>
        <w:sz w:val="21"/>
        <w:szCs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79FBF3">
                          <w:pPr>
                            <w:pStyle w:val="5"/>
                            <w:ind w:firstLine="420"/>
                            <w:jc w:val="center"/>
                          </w:pP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eastAsia="zh-CN"/>
                            </w:rPr>
                            <w:t>10</w:t>
                          </w:r>
                          <w:r>
                            <w:rPr>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1079FBF3">
                    <w:pPr>
                      <w:pStyle w:val="5"/>
                      <w:ind w:firstLine="420"/>
                      <w:jc w:val="center"/>
                    </w:pP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eastAsia="zh-CN"/>
                      </w:rPr>
                      <w:t>10</w:t>
                    </w:r>
                    <w:r>
                      <w:rPr>
                        <w:sz w:val="21"/>
                        <w:szCs w:val="21"/>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E9344C"/>
    <w:multiLevelType w:val="singleLevel"/>
    <w:tmpl w:val="B1E9344C"/>
    <w:lvl w:ilvl="0" w:tentative="0">
      <w:start w:val="1"/>
      <w:numFmt w:val="bullet"/>
      <w:lvlText w:val=""/>
      <w:lvlJc w:val="left"/>
      <w:pPr>
        <w:ind w:left="420" w:hanging="420"/>
      </w:pPr>
      <w:rPr>
        <w:rFonts w:hint="default" w:ascii="Wingdings" w:hAnsi="Wingdings"/>
      </w:rPr>
    </w:lvl>
  </w:abstractNum>
  <w:abstractNum w:abstractNumId="1">
    <w:nsid w:val="DAC07E79"/>
    <w:multiLevelType w:val="singleLevel"/>
    <w:tmpl w:val="DAC07E79"/>
    <w:lvl w:ilvl="0" w:tentative="0">
      <w:start w:val="1"/>
      <w:numFmt w:val="bullet"/>
      <w:lvlText w:val=""/>
      <w:lvlJc w:val="left"/>
      <w:pPr>
        <w:ind w:left="420" w:hanging="420"/>
      </w:pPr>
      <w:rPr>
        <w:rFonts w:hint="default" w:ascii="Wingdings" w:hAnsi="Wingdings"/>
      </w:rPr>
    </w:lvl>
  </w:abstractNum>
  <w:abstractNum w:abstractNumId="2">
    <w:nsid w:val="E0EC8592"/>
    <w:multiLevelType w:val="singleLevel"/>
    <w:tmpl w:val="E0EC8592"/>
    <w:lvl w:ilvl="0" w:tentative="0">
      <w:start w:val="1"/>
      <w:numFmt w:val="decimal"/>
      <w:suff w:val="nothing"/>
      <w:lvlText w:val="%1）"/>
      <w:lvlJc w:val="left"/>
    </w:lvl>
  </w:abstractNum>
  <w:abstractNum w:abstractNumId="3">
    <w:nsid w:val="1FC91163"/>
    <w:multiLevelType w:val="multilevel"/>
    <w:tmpl w:val="1FC91163"/>
    <w:lvl w:ilvl="0" w:tentative="0">
      <w:start w:val="1"/>
      <w:numFmt w:val="decimal"/>
      <w:pStyle w:val="17"/>
      <w:suff w:val="nothing"/>
      <w:lvlText w:val="%1　"/>
      <w:lvlJc w:val="left"/>
      <w:pPr>
        <w:ind w:left="425" w:firstLine="0"/>
      </w:pPr>
      <w:rPr>
        <w:rFonts w:hint="eastAsia" w:ascii="黑体" w:hAnsi="Times New Roman" w:eastAsia="黑体"/>
        <w:b w:val="0"/>
        <w:i w:val="0"/>
        <w:sz w:val="21"/>
        <w:szCs w:val="21"/>
      </w:rPr>
    </w:lvl>
    <w:lvl w:ilvl="1" w:tentative="0">
      <w:start w:val="1"/>
      <w:numFmt w:val="decimal"/>
      <w:suff w:val="nothing"/>
      <w:lvlText w:val="%1.%2　"/>
      <w:lvlJc w:val="left"/>
      <w:pPr>
        <w:ind w:left="4962"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415ECADD"/>
    <w:multiLevelType w:val="singleLevel"/>
    <w:tmpl w:val="415ECADD"/>
    <w:lvl w:ilvl="0" w:tentative="0">
      <w:start w:val="1"/>
      <w:numFmt w:val="decimal"/>
      <w:suff w:val="nothing"/>
      <w:lvlText w:val="%1）"/>
      <w:lvlJc w:val="left"/>
    </w:lvl>
  </w:abstractNum>
  <w:abstractNum w:abstractNumId="5">
    <w:nsid w:val="43DD47CE"/>
    <w:multiLevelType w:val="multilevel"/>
    <w:tmpl w:val="43DD47CE"/>
    <w:lvl w:ilvl="0" w:tentative="0">
      <w:start w:val="1"/>
      <w:numFmt w:val="decimal"/>
      <w:pStyle w:val="2"/>
      <w:isLgl/>
      <w:lvlText w:val="%1"/>
      <w:lvlJc w:val="left"/>
      <w:pPr>
        <w:ind w:left="0" w:firstLine="0"/>
      </w:pPr>
      <w:rPr>
        <w:rFonts w:hint="default" w:ascii="Times New Roman" w:hAnsi="Times New Roman" w:eastAsia="黑体"/>
        <w:sz w:val="28"/>
      </w:rPr>
    </w:lvl>
    <w:lvl w:ilvl="1" w:tentative="0">
      <w:start w:val="1"/>
      <w:numFmt w:val="decimal"/>
      <w:pStyle w:val="3"/>
      <w:lvlText w:val="%1.%2"/>
      <w:lvlJc w:val="left"/>
      <w:pPr>
        <w:ind w:left="0" w:firstLine="0"/>
      </w:pPr>
      <w:rPr>
        <w:rFonts w:hint="default" w:ascii="Times New Roman" w:hAnsi="Times New Roman" w:eastAsia="黑体"/>
        <w:sz w:val="24"/>
      </w:rPr>
    </w:lvl>
    <w:lvl w:ilvl="2" w:tentative="0">
      <w:start w:val="1"/>
      <w:numFmt w:val="decimal"/>
      <w:pStyle w:val="4"/>
      <w:lvlText w:val="%1.%2.%3"/>
      <w:lvlJc w:val="left"/>
      <w:pPr>
        <w:ind w:left="0" w:firstLine="0"/>
      </w:pPr>
      <w:rPr>
        <w:rFonts w:hint="default" w:ascii="Times New Roman" w:hAnsi="Times New Roman" w:eastAsia="宋体"/>
        <w:sz w:val="24"/>
      </w:rPr>
    </w:lvl>
    <w:lvl w:ilvl="3" w:tentative="0">
      <w:start w:val="1"/>
      <w:numFmt w:val="decimal"/>
      <w:lvlRestart w:val="1"/>
      <w:lvlText w:val="图%1-%4"/>
      <w:lvlJc w:val="left"/>
      <w:pPr>
        <w:ind w:left="3261" w:firstLine="0"/>
      </w:pPr>
      <w:rPr>
        <w:rFonts w:hint="eastAsia"/>
        <w:sz w:val="21"/>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6">
    <w:nsid w:val="646260FA"/>
    <w:multiLevelType w:val="multilevel"/>
    <w:tmpl w:val="646260FA"/>
    <w:lvl w:ilvl="0" w:tentative="0">
      <w:start w:val="1"/>
      <w:numFmt w:val="decimal"/>
      <w:pStyle w:val="16"/>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num w:numId="1">
    <w:abstractNumId w:val="5"/>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 w:numId="5">
    <w:abstractNumId w:val="0"/>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8B73C2"/>
    <w:rsid w:val="08EC6219"/>
    <w:rsid w:val="09A028E1"/>
    <w:rsid w:val="0AA74DF8"/>
    <w:rsid w:val="0F2B54D9"/>
    <w:rsid w:val="11464832"/>
    <w:rsid w:val="13E159F2"/>
    <w:rsid w:val="160B0A7C"/>
    <w:rsid w:val="17EB59A3"/>
    <w:rsid w:val="1967608F"/>
    <w:rsid w:val="1A2C356C"/>
    <w:rsid w:val="1B2D759B"/>
    <w:rsid w:val="27893DAB"/>
    <w:rsid w:val="2CAD5026"/>
    <w:rsid w:val="2FA9721F"/>
    <w:rsid w:val="300743A7"/>
    <w:rsid w:val="320E4A99"/>
    <w:rsid w:val="362124D5"/>
    <w:rsid w:val="369D6F2B"/>
    <w:rsid w:val="37ED5C91"/>
    <w:rsid w:val="38745218"/>
    <w:rsid w:val="39AF6B9E"/>
    <w:rsid w:val="3A347CA9"/>
    <w:rsid w:val="3C9F4937"/>
    <w:rsid w:val="3E2241BA"/>
    <w:rsid w:val="3F026AD2"/>
    <w:rsid w:val="40E02836"/>
    <w:rsid w:val="40F04A61"/>
    <w:rsid w:val="44BC2830"/>
    <w:rsid w:val="451C65DE"/>
    <w:rsid w:val="45F4643C"/>
    <w:rsid w:val="47DE581B"/>
    <w:rsid w:val="48126EF3"/>
    <w:rsid w:val="49DA0AA2"/>
    <w:rsid w:val="4B7F0B56"/>
    <w:rsid w:val="4FB423E8"/>
    <w:rsid w:val="54790B80"/>
    <w:rsid w:val="579E2AA8"/>
    <w:rsid w:val="586C6306"/>
    <w:rsid w:val="599F0FC0"/>
    <w:rsid w:val="5C3C3A71"/>
    <w:rsid w:val="5DAF67CF"/>
    <w:rsid w:val="5F531FB1"/>
    <w:rsid w:val="60854409"/>
    <w:rsid w:val="61002251"/>
    <w:rsid w:val="62621F11"/>
    <w:rsid w:val="6385237C"/>
    <w:rsid w:val="63A86D8C"/>
    <w:rsid w:val="64AD1935"/>
    <w:rsid w:val="668E3573"/>
    <w:rsid w:val="6AFE5C37"/>
    <w:rsid w:val="6C495FD5"/>
    <w:rsid w:val="7143260C"/>
    <w:rsid w:val="724C2FD8"/>
    <w:rsid w:val="731A32FA"/>
    <w:rsid w:val="7C3C6544"/>
    <w:rsid w:val="7C6720C2"/>
    <w:rsid w:val="7D9D00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80" w:lineRule="exact"/>
      <w:ind w:firstLine="200" w:firstLineChars="200"/>
      <w:jc w:val="both"/>
    </w:pPr>
    <w:rPr>
      <w:rFonts w:ascii="Times New Roman" w:hAnsi="Times New Roman" w:eastAsia="宋体" w:cs="Times New Roman"/>
      <w:sz w:val="24"/>
      <w:szCs w:val="22"/>
      <w:lang w:val="en-US" w:eastAsia="en-US" w:bidi="ar-SA"/>
    </w:rPr>
  </w:style>
  <w:style w:type="paragraph" w:styleId="2">
    <w:name w:val="heading 1"/>
    <w:basedOn w:val="1"/>
    <w:next w:val="1"/>
    <w:qFormat/>
    <w:uiPriority w:val="0"/>
    <w:pPr>
      <w:numPr>
        <w:ilvl w:val="0"/>
        <w:numId w:val="1"/>
      </w:numPr>
      <w:spacing w:before="156" w:beforeLines="50" w:after="156" w:afterLines="50"/>
      <w:ind w:firstLineChars="0"/>
      <w:outlineLvl w:val="0"/>
    </w:pPr>
    <w:rPr>
      <w:rFonts w:eastAsia="黑体"/>
      <w:sz w:val="28"/>
      <w:szCs w:val="28"/>
    </w:rPr>
  </w:style>
  <w:style w:type="paragraph" w:styleId="3">
    <w:name w:val="heading 2"/>
    <w:basedOn w:val="1"/>
    <w:next w:val="1"/>
    <w:qFormat/>
    <w:uiPriority w:val="0"/>
    <w:pPr>
      <w:keepNext/>
      <w:keepLines/>
      <w:numPr>
        <w:ilvl w:val="1"/>
        <w:numId w:val="1"/>
      </w:numPr>
      <w:spacing w:before="156" w:beforeLines="50" w:after="156" w:afterLines="50"/>
      <w:ind w:firstLineChars="0"/>
      <w:outlineLvl w:val="1"/>
    </w:pPr>
    <w:rPr>
      <w:rFonts w:eastAsia="黑体"/>
      <w:szCs w:val="32"/>
      <w:lang w:eastAsia="zh-CN"/>
    </w:rPr>
  </w:style>
  <w:style w:type="paragraph" w:styleId="4">
    <w:name w:val="heading 3"/>
    <w:basedOn w:val="1"/>
    <w:next w:val="1"/>
    <w:qFormat/>
    <w:uiPriority w:val="0"/>
    <w:pPr>
      <w:numPr>
        <w:ilvl w:val="2"/>
        <w:numId w:val="1"/>
      </w:numPr>
      <w:tabs>
        <w:tab w:val="left" w:pos="440"/>
      </w:tabs>
      <w:spacing w:before="10" w:after="10"/>
      <w:ind w:firstLineChars="0"/>
      <w:outlineLvl w:val="2"/>
    </w:pPr>
    <w:rPr>
      <w:szCs w:val="24"/>
      <w:lang w:eastAsia="zh-CN"/>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footer"/>
    <w:basedOn w:val="1"/>
    <w:qFormat/>
    <w:uiPriority w:val="99"/>
    <w:pPr>
      <w:tabs>
        <w:tab w:val="center" w:pos="4153"/>
        <w:tab w:val="right" w:pos="8306"/>
      </w:tabs>
      <w:snapToGrid w:val="0"/>
    </w:pPr>
    <w:rPr>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table" w:styleId="11">
    <w:name w:val="Table Grid"/>
    <w:basedOn w:val="10"/>
    <w:unhideWhenUse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character" w:styleId="14">
    <w:name w:val="page number"/>
    <w:basedOn w:val="12"/>
    <w:qFormat/>
    <w:uiPriority w:val="0"/>
  </w:style>
  <w:style w:type="paragraph" w:customStyle="1" w:styleId="15">
    <w:name w:val="段"/>
    <w:basedOn w:val="1"/>
    <w:qFormat/>
    <w:uiPriority w:val="0"/>
    <w:pPr>
      <w:ind w:firstLine="420"/>
    </w:pPr>
  </w:style>
  <w:style w:type="paragraph" w:customStyle="1" w:styleId="16">
    <w:name w:val="正文表标题"/>
    <w:next w:val="15"/>
    <w:qFormat/>
    <w:uiPriority w:val="99"/>
    <w:pPr>
      <w:numPr>
        <w:ilvl w:val="0"/>
        <w:numId w:val="2"/>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7">
    <w:name w:val="章标题"/>
    <w:next w:val="15"/>
    <w:qFormat/>
    <w:uiPriority w:val="0"/>
    <w:pPr>
      <w:numPr>
        <w:ilvl w:val="0"/>
        <w:numId w:val="3"/>
      </w:numPr>
      <w:spacing w:before="312" w:beforeLines="100" w:after="312" w:afterLines="100"/>
      <w:jc w:val="both"/>
      <w:outlineLvl w:val="1"/>
    </w:pPr>
    <w:rPr>
      <w:rFonts w:ascii="黑体" w:hAnsi="Times New Roman" w:eastAsia="黑体" w:cs="Times New Roman"/>
      <w:sz w:val="21"/>
      <w:lang w:val="en-US" w:eastAsia="zh-CN" w:bidi="ar-SA"/>
    </w:rPr>
  </w:style>
  <w:style w:type="table" w:customStyle="1" w:styleId="18">
    <w:name w:val="TableGri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12758</Words>
  <Characters>14788</Characters>
  <Lines>0</Lines>
  <Paragraphs>0</Paragraphs>
  <TotalTime>1</TotalTime>
  <ScaleCrop>false</ScaleCrop>
  <LinksUpToDate>false</LinksUpToDate>
  <CharactersWithSpaces>15154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2025-01-16T02:17:00Z</dcterms:created>
  <dc:creator>acer</dc:creator>
  <cp:lastModifiedBy>陈星曈</cp:lastModifiedBy>
  <dcterms:modified xsi:type="dcterms:W3CDTF">2025-06-13T07:04:09Z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eyJoZGlkIjoiNzhiMjFhNjIyYzE0ZWNjMWI5NjJlODEyYTM4NmRiY2EiLCJ1c2VySWQiOiIxMjEzNjU0MDg4In0=</vt:lpwstr>
  </property>
  <property fmtid="{D5CDD505-2E9C-101B-9397-08002B2CF9AE}" pid="4" name="ICV">
    <vt:lpwstr>B4696E3CEDFD4589B1371E97FF6B7015_12</vt:lpwstr>
  </property>
</Properties>
</file>